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3ED" w:rsidRDefault="00D013ED" w:rsidP="00D013ED">
      <w:pPr>
        <w:jc w:val="right"/>
      </w:pPr>
      <w:r>
        <w:object w:dxaOrig="3600"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84.75pt" o:ole="">
            <v:imagedata r:id="rId9" o:title=""/>
          </v:shape>
          <o:OLEObject Type="Embed" ProgID="MSPhotoEd.3" ShapeID="_x0000_i1025" DrawAspect="Content" ObjectID="_1401776020" r:id="rId10"/>
        </w:object>
      </w:r>
    </w:p>
    <w:p w:rsidR="00D013ED" w:rsidRDefault="00D013ED" w:rsidP="00D013ED">
      <w:pPr>
        <w:pStyle w:val="Heading1"/>
      </w:pPr>
    </w:p>
    <w:p w:rsidR="00D013ED" w:rsidRDefault="00D013ED" w:rsidP="00D013ED">
      <w:pPr>
        <w:rPr>
          <w:lang w:val="en-GB"/>
        </w:rPr>
      </w:pPr>
    </w:p>
    <w:p w:rsidR="00D013ED" w:rsidRPr="00D013ED" w:rsidRDefault="00D013ED" w:rsidP="00D013ED">
      <w:pPr>
        <w:rPr>
          <w:lang w:val="en-GB"/>
        </w:rPr>
      </w:pPr>
    </w:p>
    <w:p w:rsidR="00D013ED" w:rsidRDefault="00D013ED" w:rsidP="00D013ED">
      <w:pPr>
        <w:rPr>
          <w:lang w:val="en-GB"/>
        </w:rPr>
      </w:pPr>
    </w:p>
    <w:p w:rsidR="00D013ED" w:rsidRPr="00D013ED" w:rsidRDefault="00D013ED" w:rsidP="00D013ED">
      <w:pPr>
        <w:rPr>
          <w:lang w:val="en-GB"/>
        </w:rPr>
      </w:pPr>
    </w:p>
    <w:p w:rsidR="004F58C7" w:rsidRDefault="004F58C7" w:rsidP="00A77DBA">
      <w:pPr>
        <w:pStyle w:val="Title"/>
      </w:pPr>
      <w:r>
        <w:t>Taking on the West Island:</w:t>
      </w:r>
    </w:p>
    <w:p w:rsidR="00D013ED" w:rsidRDefault="004F58C7" w:rsidP="00A77DBA">
      <w:pPr>
        <w:pStyle w:val="Title"/>
      </w:pPr>
      <w:r>
        <w:t>Steps towards levelling the playing field</w:t>
      </w:r>
      <w:r w:rsidR="00D013ED">
        <w:t xml:space="preserve"> </w:t>
      </w:r>
    </w:p>
    <w:p w:rsidR="00424E22" w:rsidRDefault="00424E22" w:rsidP="00D013ED">
      <w:pPr>
        <w:pStyle w:val="Author"/>
      </w:pPr>
    </w:p>
    <w:p w:rsidR="00D013ED" w:rsidRDefault="00D013ED" w:rsidP="00D013ED">
      <w:pPr>
        <w:pStyle w:val="Author"/>
      </w:pPr>
      <w:r>
        <w:t xml:space="preserve">Paper presented at </w:t>
      </w:r>
      <w:r w:rsidR="004F58C7">
        <w:t>New Zealand Association of Economists</w:t>
      </w:r>
      <w:r>
        <w:t xml:space="preserve"> conference, </w:t>
      </w:r>
      <w:r>
        <w:br/>
        <w:t xml:space="preserve">at </w:t>
      </w:r>
      <w:r w:rsidR="004F58C7">
        <w:t>Palmerston North</w:t>
      </w:r>
      <w:r>
        <w:t xml:space="preserve">, New Zealand, </w:t>
      </w:r>
      <w:r>
        <w:br/>
      </w:r>
      <w:r w:rsidR="004F58C7">
        <w:t>27</w:t>
      </w:r>
      <w:r>
        <w:t xml:space="preserve"> </w:t>
      </w:r>
      <w:r w:rsidR="004F58C7">
        <w:t>June</w:t>
      </w:r>
      <w:r>
        <w:t xml:space="preserve"> 20</w:t>
      </w:r>
      <w:r w:rsidR="00893BEF">
        <w:t>1</w:t>
      </w:r>
      <w:r w:rsidR="004F58C7">
        <w:t>2</w:t>
      </w:r>
    </w:p>
    <w:p w:rsidR="00D013ED" w:rsidRDefault="00D013ED" w:rsidP="00D013ED">
      <w:pPr>
        <w:pStyle w:val="Author"/>
      </w:pPr>
    </w:p>
    <w:p w:rsidR="00D013ED" w:rsidRPr="00F66531" w:rsidRDefault="004F58C7" w:rsidP="00D013ED">
      <w:pPr>
        <w:pStyle w:val="Author"/>
      </w:pPr>
      <w:r>
        <w:t>Nicholas Warmke</w:t>
      </w:r>
      <w:r w:rsidR="00D013ED">
        <w:t xml:space="preserve"> </w:t>
      </w:r>
    </w:p>
    <w:p w:rsidR="002A24C6" w:rsidRDefault="002A24C6" w:rsidP="00D013ED">
      <w:pPr>
        <w:pStyle w:val="Author"/>
      </w:pPr>
      <w:r w:rsidRPr="002A24C6">
        <w:t>Nicholas.warmke@stats.govt.nz</w:t>
      </w:r>
    </w:p>
    <w:p w:rsidR="006B32AC" w:rsidRDefault="006B32AC" w:rsidP="00D013ED">
      <w:pPr>
        <w:pStyle w:val="Author"/>
      </w:pPr>
      <w:r>
        <w:t>Statistics New Zealand</w:t>
      </w:r>
    </w:p>
    <w:p w:rsidR="00D013ED" w:rsidRDefault="00D013ED" w:rsidP="00D013ED">
      <w:pPr>
        <w:pStyle w:val="Author"/>
      </w:pPr>
      <w:r>
        <w:br/>
        <w:t>P O Box 2922</w:t>
      </w:r>
      <w:r>
        <w:br/>
        <w:t>Wellington, New Zealand</w:t>
      </w:r>
      <w:r>
        <w:br/>
        <w:t>info@stats.govt.nz</w:t>
      </w:r>
    </w:p>
    <w:p w:rsidR="00D013ED" w:rsidRPr="00424E22" w:rsidRDefault="00B32F9D" w:rsidP="00D013ED">
      <w:pPr>
        <w:pStyle w:val="Author"/>
        <w:rPr>
          <w:lang w:val="de-DE"/>
        </w:rPr>
      </w:pPr>
      <w:hyperlink r:id="rId11" w:history="1">
        <w:r w:rsidR="002A24C6" w:rsidRPr="00B41335">
          <w:rPr>
            <w:rStyle w:val="Hyperlink"/>
            <w:lang w:val="de-DE"/>
          </w:rPr>
          <w:t>www.stats.govt.nz</w:t>
        </w:r>
      </w:hyperlink>
    </w:p>
    <w:p w:rsidR="00876724" w:rsidRPr="00424E22" w:rsidRDefault="00876724">
      <w:pPr>
        <w:spacing w:after="200" w:line="276" w:lineRule="auto"/>
        <w:rPr>
          <w:lang w:val="de-DE"/>
        </w:rPr>
      </w:pPr>
    </w:p>
    <w:p w:rsidR="004F58C7" w:rsidRPr="00424E22" w:rsidRDefault="004F58C7" w:rsidP="004F58C7">
      <w:pPr>
        <w:pStyle w:val="Author"/>
        <w:rPr>
          <w:lang w:val="de-DE"/>
        </w:rPr>
      </w:pPr>
      <w:r w:rsidRPr="00424E22">
        <w:rPr>
          <w:lang w:val="de-DE"/>
        </w:rPr>
        <w:t>John Janssen</w:t>
      </w:r>
    </w:p>
    <w:p w:rsidR="002A24C6" w:rsidRDefault="002A24C6" w:rsidP="004F58C7">
      <w:pPr>
        <w:pStyle w:val="Author"/>
      </w:pPr>
      <w:r>
        <w:t>John.janssen@treasury.govt.nz</w:t>
      </w:r>
    </w:p>
    <w:p w:rsidR="004F58C7" w:rsidRDefault="004F58C7" w:rsidP="004F58C7">
      <w:pPr>
        <w:pStyle w:val="Author"/>
      </w:pPr>
      <w:r>
        <w:t>The Treasury New Zealand</w:t>
      </w:r>
      <w:r>
        <w:br/>
      </w:r>
    </w:p>
    <w:p w:rsidR="00876724" w:rsidRDefault="00876724">
      <w:pPr>
        <w:spacing w:after="200" w:line="276" w:lineRule="auto"/>
      </w:pPr>
    </w:p>
    <w:p w:rsidR="00876724" w:rsidRDefault="00876724">
      <w:pPr>
        <w:spacing w:after="200" w:line="276" w:lineRule="auto"/>
      </w:pPr>
    </w:p>
    <w:p w:rsidR="00876724" w:rsidRDefault="00876724">
      <w:pPr>
        <w:spacing w:after="200" w:line="276" w:lineRule="auto"/>
      </w:pPr>
    </w:p>
    <w:p w:rsidR="00876724" w:rsidRDefault="00876724">
      <w:pPr>
        <w:spacing w:after="200" w:line="276" w:lineRule="auto"/>
      </w:pPr>
    </w:p>
    <w:p w:rsidR="00A00E15" w:rsidRDefault="00A00E15" w:rsidP="00A00E15">
      <w:pPr>
        <w:pStyle w:val="Copyrightinfoheadings"/>
        <w:rPr>
          <w:b w:val="0"/>
        </w:rPr>
      </w:pPr>
      <w:r>
        <w:rPr>
          <w:b w:val="0"/>
        </w:rPr>
        <w:br w:type="page"/>
      </w:r>
    </w:p>
    <w:p w:rsidR="00A00E15" w:rsidRDefault="00A00E15" w:rsidP="00A00E15">
      <w:pPr>
        <w:pStyle w:val="Copyrightinfoheadings"/>
        <w:rPr>
          <w:b w:val="0"/>
        </w:rPr>
      </w:pPr>
    </w:p>
    <w:p w:rsidR="00A00E15" w:rsidRDefault="00A00E15" w:rsidP="00A00E15">
      <w:pPr>
        <w:pStyle w:val="Copyrightinfoheadings"/>
        <w:rPr>
          <w:b w:val="0"/>
        </w:rPr>
      </w:pPr>
    </w:p>
    <w:p w:rsidR="00A00E15" w:rsidRDefault="00A00E15" w:rsidP="00A00E15">
      <w:pPr>
        <w:pStyle w:val="Copyrightinfoheadings"/>
        <w:rPr>
          <w:b w:val="0"/>
        </w:rPr>
      </w:pPr>
    </w:p>
    <w:p w:rsidR="00AB1065" w:rsidRDefault="00AB1065" w:rsidP="00A00E15">
      <w:pPr>
        <w:pStyle w:val="Copyrightinfoheadings"/>
        <w:rPr>
          <w:b w:val="0"/>
        </w:rPr>
      </w:pPr>
    </w:p>
    <w:p w:rsidR="0072768F" w:rsidRDefault="0072768F" w:rsidP="00A00E15">
      <w:pPr>
        <w:pStyle w:val="Copyrightinfoheadings"/>
        <w:rPr>
          <w:b w:val="0"/>
        </w:rPr>
      </w:pPr>
    </w:p>
    <w:p w:rsidR="0072768F" w:rsidRDefault="0072768F" w:rsidP="00A00E15">
      <w:pPr>
        <w:pStyle w:val="Copyrightinfoheadings"/>
        <w:rPr>
          <w:b w:val="0"/>
        </w:rPr>
      </w:pPr>
    </w:p>
    <w:p w:rsidR="0072768F" w:rsidRDefault="0072768F" w:rsidP="00A00E15">
      <w:pPr>
        <w:pStyle w:val="Copyrightinfoheadings"/>
        <w:rPr>
          <w:b w:val="0"/>
        </w:rPr>
      </w:pPr>
    </w:p>
    <w:p w:rsidR="0072768F" w:rsidRDefault="0072768F" w:rsidP="00A00E15">
      <w:pPr>
        <w:pStyle w:val="Copyrightinfoheadings"/>
        <w:rPr>
          <w:b w:val="0"/>
        </w:rPr>
      </w:pPr>
    </w:p>
    <w:p w:rsidR="00AB1065" w:rsidRDefault="00AB1065" w:rsidP="00A00E15">
      <w:pPr>
        <w:pStyle w:val="Copyrightinfoheadings"/>
        <w:rPr>
          <w:b w:val="0"/>
        </w:rPr>
      </w:pPr>
    </w:p>
    <w:p w:rsidR="00AB1065" w:rsidRDefault="00AB1065" w:rsidP="00A00E15">
      <w:pPr>
        <w:pStyle w:val="Copyrightinfoheadings"/>
        <w:rPr>
          <w:b w:val="0"/>
        </w:rPr>
      </w:pPr>
    </w:p>
    <w:p w:rsidR="00AB1065" w:rsidRDefault="00AB1065" w:rsidP="00A00E15">
      <w:pPr>
        <w:pStyle w:val="Copyrightinfoheadings"/>
        <w:rPr>
          <w:b w:val="0"/>
        </w:rPr>
      </w:pPr>
    </w:p>
    <w:p w:rsidR="00AB1065" w:rsidRDefault="00AB1065" w:rsidP="00A00E15">
      <w:pPr>
        <w:pStyle w:val="Copyrightinfoheadings"/>
        <w:rPr>
          <w:b w:val="0"/>
        </w:rPr>
      </w:pPr>
    </w:p>
    <w:p w:rsidR="0072768F" w:rsidRDefault="0072768F" w:rsidP="00A00E15">
      <w:pPr>
        <w:pStyle w:val="Copyrightinfoheadings"/>
        <w:rPr>
          <w:b w:val="0"/>
        </w:rPr>
      </w:pPr>
    </w:p>
    <w:p w:rsidR="00AB1065" w:rsidRDefault="00AB1065" w:rsidP="00A00E15">
      <w:pPr>
        <w:pStyle w:val="Copyrightinfoheadings"/>
        <w:rPr>
          <w:b w:val="0"/>
        </w:rPr>
      </w:pPr>
    </w:p>
    <w:p w:rsidR="0072768F" w:rsidRPr="00A97D47" w:rsidRDefault="0072768F" w:rsidP="0072768F">
      <w:pPr>
        <w:pStyle w:val="Copyrightinfoheadings"/>
        <w:rPr>
          <w:rFonts w:ascii="STATSsans Regular" w:hAnsi="STATSsans Regular"/>
          <w:lang w:eastAsia="en-NZ"/>
        </w:rPr>
      </w:pPr>
      <w:r>
        <w:rPr>
          <w:noProof/>
          <w:lang w:eastAsia="en-NZ"/>
        </w:rPr>
        <w:drawing>
          <wp:inline distT="0" distB="0" distL="0" distR="0">
            <wp:extent cx="727328" cy="254977"/>
            <wp:effectExtent l="19050" t="0" r="0" b="0"/>
            <wp:docPr id="1" name="Picture 1" descr="C:\Documents and Settings\jwright\Local Settings\Application Data\Lotus\Notes\Data\RSL_DocOne.wrk\W159295_CClogoPRINT.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wright\Local Settings\Application Data\Lotus\Notes\Data\RSL_DocOne.wrk\W159295_CClogoPRINT.png"/>
                    <pic:cNvPicPr>
                      <a:picLocks noChangeAspect="1" noChangeArrowheads="1"/>
                    </pic:cNvPicPr>
                  </pic:nvPicPr>
                  <pic:blipFill>
                    <a:blip r:embed="rId13" cstate="print"/>
                    <a:srcRect/>
                    <a:stretch>
                      <a:fillRect/>
                    </a:stretch>
                  </pic:blipFill>
                  <pic:spPr bwMode="auto">
                    <a:xfrm>
                      <a:off x="0" y="0"/>
                      <a:ext cx="727847" cy="255159"/>
                    </a:xfrm>
                    <a:prstGeom prst="rect">
                      <a:avLst/>
                    </a:prstGeom>
                    <a:noFill/>
                    <a:ln w="9525">
                      <a:noFill/>
                      <a:miter lim="800000"/>
                      <a:headEnd/>
                      <a:tailEnd/>
                    </a:ln>
                  </pic:spPr>
                </pic:pic>
              </a:graphicData>
            </a:graphic>
          </wp:inline>
        </w:drawing>
      </w:r>
      <w:r>
        <w:t xml:space="preserve"> Crown copyright ©</w:t>
      </w:r>
    </w:p>
    <w:p w:rsidR="0072768F" w:rsidRDefault="0072768F" w:rsidP="0072768F">
      <w:pPr>
        <w:pStyle w:val="Copyrightinfotext"/>
      </w:pPr>
      <w:r>
        <w:t>This work is licensed under the</w:t>
      </w:r>
      <w:r>
        <w:rPr>
          <w:rFonts w:ascii="STATSsans Light" w:hAnsi="STATSsans Light" w:cs="Arial"/>
          <w:color w:val="2F2F2F"/>
          <w:sz w:val="18"/>
          <w:szCs w:val="18"/>
          <w:lang w:eastAsia="en-NZ"/>
        </w:rPr>
        <w:t xml:space="preserve"> </w:t>
      </w:r>
      <w:hyperlink r:id="rId14" w:history="1">
        <w:r w:rsidRPr="00B5683E">
          <w:rPr>
            <w:rStyle w:val="Hyperlink"/>
            <w:szCs w:val="20"/>
          </w:rPr>
          <w:t>Creative Commons Attribution 3.0 New Zealand</w:t>
        </w:r>
      </w:hyperlink>
      <w:r>
        <w:t xml:space="preserve"> licence. You are free to copy, distribute, and adapt the work, as long as you attribute the work to Statistics NZ and abide by the other licence terms. Please note you may not use any departmental or governmental emblem, logo, or coat of arms in any way that infringes any provision of the </w:t>
      </w:r>
      <w:hyperlink r:id="rId15" w:history="1">
        <w:r w:rsidRPr="00B5683E">
          <w:rPr>
            <w:rStyle w:val="Hyperlink"/>
            <w:szCs w:val="20"/>
          </w:rPr>
          <w:t>Flags, Emblems, and Names Protection Act 1981</w:t>
        </w:r>
      </w:hyperlink>
      <w:r>
        <w:t>. Use the wording 'Statistics New Zealand' in your attribution, not the Statistics NZ logo</w:t>
      </w:r>
      <w:r w:rsidRPr="00CA1E70">
        <w:t>.</w:t>
      </w:r>
    </w:p>
    <w:p w:rsidR="00A00E15" w:rsidRDefault="00A00E15" w:rsidP="00A00E15">
      <w:pPr>
        <w:pStyle w:val="Copyrightinfoheadings"/>
      </w:pPr>
      <w:r>
        <w:t>Liability</w:t>
      </w:r>
    </w:p>
    <w:p w:rsidR="00A00E15" w:rsidRDefault="007D72BB" w:rsidP="00A00E15">
      <w:pPr>
        <w:pStyle w:val="Copyrightinfotext"/>
      </w:pPr>
      <w:r>
        <w:t xml:space="preserve">The opinions, findings, recommendations, and conclusions expressed in this paper are those of the authors. They do not represent those of Statistics New Zealand, which takes no responsibility for any omissions or errors in </w:t>
      </w:r>
      <w:r w:rsidR="00A00E15">
        <w:t xml:space="preserve">the information in this </w:t>
      </w:r>
      <w:r>
        <w:t>paper.</w:t>
      </w:r>
    </w:p>
    <w:p w:rsidR="00876724" w:rsidRDefault="00876724" w:rsidP="00876724">
      <w:pPr>
        <w:pStyle w:val="Num-DocParagraph"/>
        <w:rPr>
          <w:lang w:val="en-GB"/>
        </w:rPr>
      </w:pPr>
    </w:p>
    <w:p w:rsidR="00A00E15" w:rsidRPr="00CA1E70" w:rsidRDefault="00A00E15" w:rsidP="00A00E15">
      <w:pPr>
        <w:pStyle w:val="Copyrightinfoheadings"/>
      </w:pPr>
      <w:r w:rsidRPr="00CA1E70">
        <w:t>Citation</w:t>
      </w:r>
    </w:p>
    <w:p w:rsidR="00A00E15" w:rsidRPr="00CA1E70" w:rsidRDefault="004F58C7" w:rsidP="00A00E15">
      <w:pPr>
        <w:pStyle w:val="Copyrightinfotext"/>
      </w:pPr>
      <w:r>
        <w:t>Warmke</w:t>
      </w:r>
      <w:r w:rsidR="008E4C20">
        <w:t xml:space="preserve">, </w:t>
      </w:r>
      <w:r>
        <w:t>N</w:t>
      </w:r>
      <w:r w:rsidR="008E4C20">
        <w:t xml:space="preserve"> &amp; </w:t>
      </w:r>
      <w:r>
        <w:t xml:space="preserve">Janssen, </w:t>
      </w:r>
      <w:r w:rsidR="009A3AD6">
        <w:t>J (</w:t>
      </w:r>
      <w:r w:rsidR="00A00E15" w:rsidRPr="00CA1E70">
        <w:t>201</w:t>
      </w:r>
      <w:r>
        <w:t>2</w:t>
      </w:r>
      <w:r w:rsidR="008E4C20">
        <w:t xml:space="preserve">, </w:t>
      </w:r>
      <w:r>
        <w:t>June)</w:t>
      </w:r>
      <w:r w:rsidR="00A00E15" w:rsidRPr="00CA1E70">
        <w:t xml:space="preserve">. </w:t>
      </w:r>
      <w:proofErr w:type="gramStart"/>
      <w:r>
        <w:rPr>
          <w:i/>
        </w:rPr>
        <w:t>Taking on the West Island: Steps towards levelling the playing field</w:t>
      </w:r>
      <w:r w:rsidR="00A00E15" w:rsidRPr="007971E1">
        <w:rPr>
          <w:i/>
        </w:rPr>
        <w:t>.</w:t>
      </w:r>
      <w:proofErr w:type="gramEnd"/>
      <w:r w:rsidR="00A00E15" w:rsidRPr="00CA1E70">
        <w:t xml:space="preserve"> </w:t>
      </w:r>
      <w:r w:rsidR="008E4C20">
        <w:t xml:space="preserve">Paper presented at the </w:t>
      </w:r>
      <w:r>
        <w:t>New Zealand Association of Economists</w:t>
      </w:r>
      <w:r w:rsidR="008E4C20">
        <w:t xml:space="preserve"> Conference, </w:t>
      </w:r>
      <w:r>
        <w:t>Palmerston North, New Zealand</w:t>
      </w:r>
      <w:r w:rsidR="008E4C20">
        <w:t>.</w:t>
      </w:r>
    </w:p>
    <w:p w:rsidR="00A00E15" w:rsidRPr="00551C9C" w:rsidRDefault="00A00E15" w:rsidP="00876724">
      <w:pPr>
        <w:pStyle w:val="Num-DocParagraph"/>
        <w:rPr>
          <w:lang w:val="en-GB"/>
        </w:rPr>
      </w:pPr>
    </w:p>
    <w:p w:rsidR="000D5064" w:rsidRDefault="000D5064" w:rsidP="00AB1065">
      <w:pPr>
        <w:pStyle w:val="Heading2"/>
        <w:sectPr w:rsidR="000D5064" w:rsidSect="0060075E">
          <w:pgSz w:w="11906" w:h="16838"/>
          <w:pgMar w:top="1440" w:right="1440" w:bottom="1440" w:left="1440" w:header="708" w:footer="708" w:gutter="0"/>
          <w:cols w:space="708"/>
          <w:docGrid w:linePitch="360"/>
        </w:sectPr>
      </w:pPr>
    </w:p>
    <w:p w:rsidR="00876724" w:rsidRDefault="00876724" w:rsidP="00AB1065">
      <w:pPr>
        <w:pStyle w:val="Heading2"/>
      </w:pPr>
      <w:r>
        <w:lastRenderedPageBreak/>
        <w:t xml:space="preserve">Abstract </w:t>
      </w:r>
    </w:p>
    <w:p w:rsidR="00F4059D" w:rsidRDefault="006B32AC" w:rsidP="00AB1065">
      <w:pPr>
        <w:pStyle w:val="Heading3"/>
        <w:rPr>
          <w:b w:val="0"/>
          <w:bCs w:val="0"/>
          <w:sz w:val="21"/>
          <w:lang w:val="en-US"/>
        </w:rPr>
      </w:pPr>
      <w:r w:rsidRPr="006B32AC">
        <w:rPr>
          <w:b w:val="0"/>
          <w:bCs w:val="0"/>
          <w:sz w:val="21"/>
          <w:lang w:val="en-US"/>
        </w:rPr>
        <w:t xml:space="preserve">New Zealand’s productivity performance has gained considerable attention in recent times, particularly compared with Australia’s.  </w:t>
      </w:r>
      <w:r w:rsidRPr="006B32AC">
        <w:rPr>
          <w:b w:val="0"/>
          <w:bCs w:val="0"/>
          <w:i/>
          <w:sz w:val="21"/>
          <w:lang w:val="en-US"/>
        </w:rPr>
        <w:t>Taking on the West Island: How does New Zealand’s labour productivity stack up?</w:t>
      </w:r>
      <w:r w:rsidRPr="006B32AC">
        <w:rPr>
          <w:b w:val="0"/>
          <w:bCs w:val="0"/>
          <w:sz w:val="21"/>
          <w:lang w:val="en-US"/>
        </w:rPr>
        <w:t xml:space="preserve"> </w:t>
      </w:r>
      <w:r w:rsidR="00F4059D">
        <w:rPr>
          <w:b w:val="0"/>
          <w:bCs w:val="0"/>
          <w:sz w:val="21"/>
          <w:lang w:val="en-US"/>
        </w:rPr>
        <w:t>(Statistics NZ, 2010</w:t>
      </w:r>
      <w:r w:rsidR="002476FC">
        <w:rPr>
          <w:b w:val="0"/>
          <w:bCs w:val="0"/>
          <w:sz w:val="21"/>
          <w:lang w:val="en-US"/>
        </w:rPr>
        <w:t>b</w:t>
      </w:r>
      <w:r w:rsidR="00F4059D">
        <w:rPr>
          <w:b w:val="0"/>
          <w:bCs w:val="0"/>
          <w:sz w:val="21"/>
          <w:lang w:val="en-US"/>
        </w:rPr>
        <w:t>)</w:t>
      </w:r>
      <w:r w:rsidRPr="006B32AC">
        <w:rPr>
          <w:b w:val="0"/>
          <w:bCs w:val="0"/>
          <w:sz w:val="21"/>
          <w:lang w:val="en-US"/>
        </w:rPr>
        <w:t xml:space="preserve"> examined some of the methodology, data, and coverage differences underlying the measurement of output and labour productivity growth rates between </w:t>
      </w:r>
      <w:r w:rsidR="00F4059D">
        <w:rPr>
          <w:b w:val="0"/>
          <w:bCs w:val="0"/>
          <w:sz w:val="21"/>
          <w:lang w:val="en-US"/>
        </w:rPr>
        <w:t>in</w:t>
      </w:r>
      <w:r w:rsidR="00F4059D" w:rsidRPr="006B32AC">
        <w:rPr>
          <w:b w:val="0"/>
          <w:bCs w:val="0"/>
          <w:sz w:val="21"/>
          <w:lang w:val="en-US"/>
        </w:rPr>
        <w:t xml:space="preserve"> </w:t>
      </w:r>
      <w:r w:rsidR="008A2EE9">
        <w:rPr>
          <w:b w:val="0"/>
          <w:bCs w:val="0"/>
          <w:sz w:val="21"/>
          <w:lang w:val="en-US"/>
        </w:rPr>
        <w:t>New Zealand and Australia.</w:t>
      </w:r>
    </w:p>
    <w:p w:rsidR="008B0456" w:rsidRDefault="006B32AC" w:rsidP="00AB1065">
      <w:pPr>
        <w:pStyle w:val="Heading3"/>
        <w:rPr>
          <w:b w:val="0"/>
          <w:bCs w:val="0"/>
          <w:sz w:val="21"/>
          <w:lang w:val="en-US"/>
        </w:rPr>
      </w:pPr>
      <w:r w:rsidRPr="006B32AC">
        <w:rPr>
          <w:b w:val="0"/>
          <w:bCs w:val="0"/>
          <w:sz w:val="21"/>
          <w:lang w:val="en-US"/>
        </w:rPr>
        <w:t xml:space="preserve">Since </w:t>
      </w:r>
      <w:r w:rsidR="008B0456">
        <w:rPr>
          <w:b w:val="0"/>
          <w:bCs w:val="0"/>
          <w:sz w:val="21"/>
          <w:lang w:val="en-US"/>
        </w:rPr>
        <w:t>2010</w:t>
      </w:r>
      <w:r w:rsidRPr="006B32AC">
        <w:rPr>
          <w:b w:val="0"/>
          <w:bCs w:val="0"/>
          <w:sz w:val="21"/>
          <w:lang w:val="en-US"/>
        </w:rPr>
        <w:t>, coverage of official productivity statistics in both countries has increased to around 80 percent of their respective economies.  Levels of industry labour volume (hours paid) for measured sector industries have also been made available for New Zealand, enabling industry labour productivity level comparisons to be made within New Zealand.</w:t>
      </w:r>
      <w:r w:rsidR="00425029">
        <w:rPr>
          <w:b w:val="0"/>
          <w:bCs w:val="0"/>
          <w:sz w:val="21"/>
          <w:lang w:val="en-US"/>
        </w:rPr>
        <w:t xml:space="preserve"> </w:t>
      </w:r>
    </w:p>
    <w:p w:rsidR="006B32AC" w:rsidRDefault="00425029" w:rsidP="00AB1065">
      <w:pPr>
        <w:pStyle w:val="Heading3"/>
        <w:rPr>
          <w:b w:val="0"/>
          <w:bCs w:val="0"/>
          <w:sz w:val="21"/>
          <w:lang w:val="en-US"/>
        </w:rPr>
      </w:pPr>
      <w:r>
        <w:rPr>
          <w:b w:val="0"/>
          <w:bCs w:val="0"/>
          <w:sz w:val="21"/>
          <w:lang w:val="en-US"/>
        </w:rPr>
        <w:t xml:space="preserve">This paper examines the impact of these changes on some of the conclusions drawn from </w:t>
      </w:r>
      <w:r w:rsidR="008B0456" w:rsidRPr="006B32AC">
        <w:rPr>
          <w:b w:val="0"/>
          <w:bCs w:val="0"/>
          <w:i/>
          <w:sz w:val="21"/>
          <w:lang w:val="en-US"/>
        </w:rPr>
        <w:t>Taking on the West Island: How does New Zealand’s labour productivity stack up?</w:t>
      </w:r>
      <w:r>
        <w:rPr>
          <w:b w:val="0"/>
          <w:bCs w:val="0"/>
          <w:sz w:val="21"/>
          <w:lang w:val="en-US"/>
        </w:rPr>
        <w:t xml:space="preserve">, as well as providing some new analysis of </w:t>
      </w:r>
      <w:r w:rsidR="008B0456">
        <w:rPr>
          <w:b w:val="0"/>
          <w:bCs w:val="0"/>
          <w:sz w:val="21"/>
          <w:lang w:val="en-US"/>
        </w:rPr>
        <w:t xml:space="preserve">how </w:t>
      </w:r>
      <w:r>
        <w:rPr>
          <w:b w:val="0"/>
          <w:bCs w:val="0"/>
          <w:sz w:val="21"/>
          <w:lang w:val="en-US"/>
        </w:rPr>
        <w:t>capital services in New Zealand</w:t>
      </w:r>
      <w:r w:rsidR="00722582">
        <w:rPr>
          <w:b w:val="0"/>
          <w:bCs w:val="0"/>
          <w:sz w:val="21"/>
          <w:lang w:val="en-US"/>
        </w:rPr>
        <w:t xml:space="preserve"> </w:t>
      </w:r>
      <w:r w:rsidR="008B0456">
        <w:rPr>
          <w:b w:val="0"/>
          <w:bCs w:val="0"/>
          <w:sz w:val="21"/>
          <w:lang w:val="en-US"/>
        </w:rPr>
        <w:t xml:space="preserve">are measured </w:t>
      </w:r>
      <w:r>
        <w:rPr>
          <w:b w:val="0"/>
          <w:bCs w:val="0"/>
          <w:sz w:val="21"/>
          <w:lang w:val="en-US"/>
        </w:rPr>
        <w:t xml:space="preserve">and the implications </w:t>
      </w:r>
      <w:r w:rsidR="008B0456">
        <w:rPr>
          <w:b w:val="0"/>
          <w:bCs w:val="0"/>
          <w:sz w:val="21"/>
          <w:lang w:val="en-US"/>
        </w:rPr>
        <w:t>that this has</w:t>
      </w:r>
      <w:r w:rsidR="00722582">
        <w:rPr>
          <w:b w:val="0"/>
          <w:bCs w:val="0"/>
          <w:sz w:val="21"/>
          <w:lang w:val="en-US"/>
        </w:rPr>
        <w:t xml:space="preserve"> </w:t>
      </w:r>
      <w:r>
        <w:rPr>
          <w:b w:val="0"/>
          <w:bCs w:val="0"/>
          <w:sz w:val="21"/>
          <w:lang w:val="en-US"/>
        </w:rPr>
        <w:t>for multifactor productivity.</w:t>
      </w:r>
    </w:p>
    <w:p w:rsidR="00876724" w:rsidRDefault="00261A01" w:rsidP="00AB1065">
      <w:pPr>
        <w:pStyle w:val="Heading3"/>
      </w:pPr>
      <w:r w:rsidRPr="00F6299D">
        <w:t xml:space="preserve">1 </w:t>
      </w:r>
      <w:r w:rsidR="006B32AC" w:rsidRPr="00F6299D">
        <w:t>Introduction</w:t>
      </w:r>
    </w:p>
    <w:p w:rsidR="006B32AC" w:rsidRPr="004B47EA" w:rsidRDefault="006B32AC" w:rsidP="004B47EA">
      <w:pPr>
        <w:rPr>
          <w:b/>
          <w:bCs/>
          <w:iCs/>
        </w:rPr>
      </w:pPr>
      <w:r w:rsidRPr="004B47EA">
        <w:t xml:space="preserve">Productivity is a key determinant of a country’s material standard of living over time.  The 2010 paper </w:t>
      </w:r>
      <w:r w:rsidRPr="004B47EA">
        <w:rPr>
          <w:i/>
        </w:rPr>
        <w:t>Taking on the West Island: How does New Zealand’s labour productivity stack up?</w:t>
      </w:r>
      <w:r w:rsidRPr="004B47EA">
        <w:t>,  examined differences in methodology, data, and industry coverage underlying the measurement of labour productivity growth rates for New Zealand and Australia.</w:t>
      </w:r>
    </w:p>
    <w:p w:rsidR="004B47EA" w:rsidRDefault="006B32AC" w:rsidP="004B47EA">
      <w:r w:rsidRPr="004B47EA">
        <w:t xml:space="preserve">The present paper has four objectives.  The first is to update the previous comparisons to account for the increased industry coverage that is now available through official statistics, and to compare these official statistics with </w:t>
      </w:r>
      <w:r w:rsidR="001E6804" w:rsidRPr="004B47EA">
        <w:t xml:space="preserve">economy-wide </w:t>
      </w:r>
      <w:r w:rsidRPr="004B47EA">
        <w:t xml:space="preserve">estimates produced by the OECD.  The second objective is to highlight and explore any remaining unresolved data or methodological issues in measurement between Australia and New Zealand, including future developments.  </w:t>
      </w:r>
      <w:r w:rsidR="001E6804" w:rsidRPr="004B47EA">
        <w:t xml:space="preserve">The third objective is to shed new light on labour productivity levels and to highlight the difficulties in making levels comparisons. </w:t>
      </w:r>
      <w:r w:rsidRPr="004B47EA">
        <w:t xml:space="preserve">The </w:t>
      </w:r>
      <w:r w:rsidR="001E6804" w:rsidRPr="004B47EA">
        <w:t xml:space="preserve">fourth </w:t>
      </w:r>
      <w:r w:rsidRPr="004B47EA">
        <w:t xml:space="preserve">objective is to set out some preliminary analysis of differences in capital measurement and multi-factor productivity growth.  </w:t>
      </w:r>
    </w:p>
    <w:p w:rsidR="004B47EA" w:rsidRDefault="006B32AC" w:rsidP="004B47EA">
      <w:r w:rsidRPr="006B32AC">
        <w:t xml:space="preserve">Although </w:t>
      </w:r>
      <w:r w:rsidR="002876F6">
        <w:t>this</w:t>
      </w:r>
      <w:r w:rsidRPr="006B32AC">
        <w:t xml:space="preserve"> paper outlines progress made </w:t>
      </w:r>
      <w:r w:rsidR="002876F6">
        <w:t>to resolve</w:t>
      </w:r>
      <w:r w:rsidRPr="006B32AC">
        <w:t xml:space="preserve"> data and methodological issues, </w:t>
      </w:r>
      <w:r w:rsidR="002876F6">
        <w:t xml:space="preserve">using </w:t>
      </w:r>
      <w:r w:rsidRPr="006B32AC">
        <w:t>alternative data sources, methods</w:t>
      </w:r>
      <w:r w:rsidR="002876F6">
        <w:t>,</w:t>
      </w:r>
      <w:r w:rsidRPr="006B32AC">
        <w:t xml:space="preserve"> and sample periods can result in a trade-off between what is judged best for national productivity statistics and what </w:t>
      </w:r>
      <w:r w:rsidR="002876F6">
        <w:t xml:space="preserve">makes </w:t>
      </w:r>
      <w:r w:rsidRPr="006B32AC">
        <w:t>cross-country comparisons</w:t>
      </w:r>
      <w:r w:rsidR="002876F6">
        <w:t xml:space="preserve"> consistent</w:t>
      </w:r>
      <w:r w:rsidR="009A3AD6" w:rsidRPr="006B32AC">
        <w:t xml:space="preserve">. </w:t>
      </w:r>
      <w:r w:rsidRPr="006B32AC">
        <w:t>There is generally less of a trade-off in the case of output, but more of a trade-off in the case of labour and capital inputs</w:t>
      </w:r>
      <w:r w:rsidR="009A3AD6" w:rsidRPr="006B32AC">
        <w:t xml:space="preserve">. </w:t>
      </w:r>
      <w:r w:rsidR="00400151">
        <w:t>Using different data sources and methods can also mean that the r</w:t>
      </w:r>
      <w:r w:rsidR="001E6804">
        <w:t>obustness</w:t>
      </w:r>
      <w:r w:rsidR="00400151">
        <w:t xml:space="preserve"> of data can vary over time. This is because </w:t>
      </w:r>
      <w:r w:rsidRPr="006B32AC">
        <w:t xml:space="preserve">quality of data sources </w:t>
      </w:r>
      <w:r w:rsidR="00400151">
        <w:t xml:space="preserve">can vary </w:t>
      </w:r>
      <w:r w:rsidRPr="006B32AC">
        <w:t>and/or specific jud</w:t>
      </w:r>
      <w:r w:rsidR="001E6804">
        <w:t>gements made about methodological changes</w:t>
      </w:r>
      <w:r w:rsidR="00400151">
        <w:t xml:space="preserve"> can affect final productivity statistics</w:t>
      </w:r>
      <w:r w:rsidRPr="006B32AC">
        <w:t xml:space="preserve">.  </w:t>
      </w:r>
    </w:p>
    <w:p w:rsidR="004B47EA" w:rsidRDefault="006B32AC" w:rsidP="004B47EA">
      <w:r w:rsidRPr="004B47EA">
        <w:t>The introduction of wider industry coverage and the results of the preliminary</w:t>
      </w:r>
      <w:r w:rsidR="004B47EA">
        <w:t xml:space="preserve"> analysis on variations in</w:t>
      </w:r>
      <w:r w:rsidRPr="004B47EA">
        <w:t xml:space="preserve"> capital measurement discussed in this paper</w:t>
      </w:r>
      <w:r w:rsidR="004B47EA">
        <w:t xml:space="preserve"> (section 5)</w:t>
      </w:r>
      <w:r w:rsidRPr="004B47EA">
        <w:t xml:space="preserve"> reinforce these conclusions.  </w:t>
      </w:r>
      <w:r w:rsidR="004B47EA">
        <w:t>W</w:t>
      </w:r>
      <w:r w:rsidRPr="004B47EA">
        <w:t>hile there is no single best measure of productivity it is important to document the</w:t>
      </w:r>
      <w:r w:rsidRPr="006B32AC">
        <w:t xml:space="preserve"> differences</w:t>
      </w:r>
      <w:r w:rsidR="004B47EA">
        <w:t>.</w:t>
      </w:r>
    </w:p>
    <w:p w:rsidR="006B32AC" w:rsidRDefault="006B32AC" w:rsidP="004B47EA">
      <w:pPr>
        <w:rPr>
          <w:b/>
          <w:bCs/>
          <w:iCs/>
        </w:rPr>
      </w:pPr>
      <w:r w:rsidRPr="006B32AC">
        <w:t>Finally, these trans-Tasman comparisons are still work-in-progress given forthcoming work on aligning industry class</w:t>
      </w:r>
      <w:r w:rsidR="00AD1C80">
        <w:t xml:space="preserve">ification systems (see Section </w:t>
      </w:r>
      <w:r w:rsidRPr="006B32AC">
        <w:t>3</w:t>
      </w:r>
      <w:r w:rsidR="00AD1C80">
        <w:t xml:space="preserve"> </w:t>
      </w:r>
      <w:r w:rsidRPr="006B32AC">
        <w:t xml:space="preserve">below).  We are planning to include these changes in an updated version of the paper later in 2012.  </w:t>
      </w:r>
    </w:p>
    <w:p w:rsidR="006B32AC" w:rsidRDefault="006B32AC" w:rsidP="006B32AC"/>
    <w:p w:rsidR="006B32AC" w:rsidRDefault="00261A01" w:rsidP="006B32AC">
      <w:pPr>
        <w:pStyle w:val="Heading3"/>
      </w:pPr>
      <w:r>
        <w:lastRenderedPageBreak/>
        <w:t xml:space="preserve">2 </w:t>
      </w:r>
      <w:r w:rsidR="00400151">
        <w:t>Key findings of</w:t>
      </w:r>
      <w:r w:rsidR="006B32AC">
        <w:t xml:space="preserve"> </w:t>
      </w:r>
      <w:r w:rsidR="00400151" w:rsidRPr="00400151">
        <w:rPr>
          <w:i/>
          <w:iCs/>
        </w:rPr>
        <w:t>Taking on the West Island: How does New Zealand’s labour productivity stack up?</w:t>
      </w:r>
    </w:p>
    <w:p w:rsidR="006B32AC" w:rsidRDefault="00F71D29" w:rsidP="006B32AC">
      <w:r>
        <w:t xml:space="preserve">Key points of </w:t>
      </w:r>
      <w:r w:rsidRPr="00427A9F">
        <w:rPr>
          <w:i/>
        </w:rPr>
        <w:t xml:space="preserve">Taking on the West Island: How does New Zealand’s labour productivity stack up? </w:t>
      </w:r>
      <w:r w:rsidRPr="004A10DF">
        <w:t>(Statistics NZ</w:t>
      </w:r>
      <w:r w:rsidR="0068445A">
        <w:t>,</w:t>
      </w:r>
      <w:r w:rsidRPr="004A10DF">
        <w:t xml:space="preserve"> 2010</w:t>
      </w:r>
      <w:r w:rsidR="002476FC">
        <w:t>b</w:t>
      </w:r>
      <w:r w:rsidRPr="004A10DF">
        <w:t>)</w:t>
      </w:r>
      <w:r w:rsidR="006B32AC">
        <w:t xml:space="preserve"> </w:t>
      </w:r>
      <w:r>
        <w:t>were as follows.</w:t>
      </w:r>
    </w:p>
    <w:p w:rsidR="006B32AC" w:rsidRPr="002A24C6" w:rsidRDefault="008110FE" w:rsidP="006B32AC">
      <w:pPr>
        <w:ind w:left="567"/>
      </w:pPr>
      <w:r w:rsidRPr="002A24C6">
        <w:t xml:space="preserve">The economy-wide labour productivity levels gap between Australia and New Zealand started to open up in the late 1960s and widened in the 1970s. Between the early 1980s and mid-1990s the gap was broadly unchanged, before starting to widen again. By the end of the 2000s, New Zealand’s economy-wide labour productivity level was around 30 percent below that of Australia, being the main source of the per capita GDP gap (as opposed to a gap in labour utilisation). </w:t>
      </w:r>
    </w:p>
    <w:p w:rsidR="006B32AC" w:rsidRPr="002A24C6" w:rsidRDefault="008110FE" w:rsidP="006B32AC">
      <w:pPr>
        <w:ind w:left="567"/>
      </w:pPr>
      <w:r w:rsidRPr="002A24C6">
        <w:t xml:space="preserve">Over the period for which there are both economy-wide and comparable official productivity statistics (1978 to 2008), the average annual growth rate of Australian economy-wide labour productivity was 1.7 percent, compared to 1.4 percent for New Zealand. For the (then) measured sector, New Zealand’s average annual labour productivity growth of 2.2 percent exceeded </w:t>
      </w:r>
      <w:r w:rsidR="00FF6F1F" w:rsidRPr="002A24C6">
        <w:t xml:space="preserve">growth in </w:t>
      </w:r>
      <w:r w:rsidRPr="002A24C6">
        <w:t xml:space="preserve">Australia of 2.0 percent.  </w:t>
      </w:r>
    </w:p>
    <w:p w:rsidR="006B32AC" w:rsidRPr="002A24C6" w:rsidRDefault="008110FE" w:rsidP="006B32AC">
      <w:pPr>
        <w:ind w:left="567"/>
      </w:pPr>
      <w:r w:rsidRPr="002A24C6">
        <w:t xml:space="preserve">Differences in labour productivity growth rates were found to be sensitive to the time period chosen. For example, over the period 1996 to 2008 both Australia’s economy-wide and measured-sector labour productivity growth rates exceeded those of New Zealand.  </w:t>
      </w:r>
    </w:p>
    <w:p w:rsidR="006B32AC" w:rsidRPr="002A24C6" w:rsidRDefault="008110FE" w:rsidP="006B32AC">
      <w:pPr>
        <w:ind w:left="567"/>
      </w:pPr>
      <w:r w:rsidRPr="002A24C6">
        <w:t xml:space="preserve">The differences in the Australian and New Zealand economy-wide and measured-sector labour productivity performances were investigated over the 1988 to 2008 period. The choice of labour input appeared to explain a part of the difference. The use of hours-worked, as opposed to hours-paid for measured-sector labour input in New Zealand reduced measured-sector labour productivity growth from 2.4 percent to 2.2 percent </w:t>
      </w:r>
      <w:r w:rsidR="00877867" w:rsidRPr="002A24C6">
        <w:t>–</w:t>
      </w:r>
      <w:r w:rsidR="006B32AC" w:rsidRPr="002A24C6">
        <w:t xml:space="preserve"> the same as the Australian growth rate.   </w:t>
      </w:r>
    </w:p>
    <w:p w:rsidR="006B32AC" w:rsidRPr="002A24C6" w:rsidRDefault="006B32AC" w:rsidP="006B32AC">
      <w:pPr>
        <w:ind w:left="567"/>
      </w:pPr>
      <w:r w:rsidRPr="002A24C6">
        <w:t xml:space="preserve">The allocation of the appropriate proportion of </w:t>
      </w:r>
      <w:r w:rsidR="00877867" w:rsidRPr="002A24C6">
        <w:t>‘f</w:t>
      </w:r>
      <w:r w:rsidRPr="002A24C6">
        <w:t xml:space="preserve">inancial </w:t>
      </w:r>
      <w:r w:rsidR="00877867" w:rsidRPr="002A24C6">
        <w:t>i</w:t>
      </w:r>
      <w:r w:rsidRPr="002A24C6">
        <w:t xml:space="preserve">ntermediation </w:t>
      </w:r>
      <w:r w:rsidR="00877867" w:rsidRPr="002A24C6">
        <w:t>services i</w:t>
      </w:r>
      <w:r w:rsidRPr="002A24C6">
        <w:t xml:space="preserve">ndirectly </w:t>
      </w:r>
      <w:r w:rsidR="00877867" w:rsidRPr="002A24C6">
        <w:t>m</w:t>
      </w:r>
      <w:r w:rsidRPr="002A24C6">
        <w:t>easured</w:t>
      </w:r>
      <w:r w:rsidR="00877867" w:rsidRPr="002A24C6">
        <w:t>’</w:t>
      </w:r>
      <w:r w:rsidRPr="002A24C6">
        <w:t xml:space="preserve"> (FISIM) to final consumption </w:t>
      </w:r>
      <w:r w:rsidR="00424E22" w:rsidRPr="002A24C6">
        <w:t xml:space="preserve">was judged to </w:t>
      </w:r>
      <w:r w:rsidRPr="002A24C6">
        <w:t>lift New Zealand’s GDP level by around 1 percent to 2 percent</w:t>
      </w:r>
      <w:r w:rsidR="009A3AD6" w:rsidRPr="002A24C6">
        <w:t xml:space="preserve">. </w:t>
      </w:r>
      <w:r w:rsidRPr="002A24C6">
        <w:t>However, the effect on labour productivity growth was considered to depend on the actual allocations</w:t>
      </w:r>
      <w:r w:rsidR="00977C50" w:rsidRPr="002A24C6">
        <w:t>. This effect was</w:t>
      </w:r>
      <w:r w:rsidRPr="002A24C6">
        <w:t xml:space="preserve"> likely </w:t>
      </w:r>
      <w:proofErr w:type="gramStart"/>
      <w:r w:rsidRPr="002A24C6">
        <w:t>be</w:t>
      </w:r>
      <w:proofErr w:type="gramEnd"/>
      <w:r w:rsidRPr="002A24C6">
        <w:t xml:space="preserve"> small.  </w:t>
      </w:r>
    </w:p>
    <w:p w:rsidR="006B32AC" w:rsidRPr="002A24C6" w:rsidRDefault="006B32AC" w:rsidP="006B32AC">
      <w:pPr>
        <w:ind w:left="567"/>
      </w:pPr>
      <w:r w:rsidRPr="002A24C6">
        <w:t xml:space="preserve">In the case of residential dwellings, Statistics NZ and the Australian Bureau of Statistics (ABS) use different methodologies with regard to quality </w:t>
      </w:r>
      <w:r w:rsidR="004B47EA">
        <w:t xml:space="preserve">adjustment </w:t>
      </w:r>
      <w:r w:rsidRPr="002A24C6">
        <w:t xml:space="preserve">and the allocation of private rental dwellings (with Statistics NZ including them in </w:t>
      </w:r>
      <w:r w:rsidR="00DD6838" w:rsidRPr="002A24C6">
        <w:t>‘p</w:t>
      </w:r>
      <w:r w:rsidRPr="002A24C6">
        <w:t xml:space="preserve">roperty </w:t>
      </w:r>
      <w:r w:rsidR="00DD6838" w:rsidRPr="002A24C6">
        <w:t xml:space="preserve">services’ </w:t>
      </w:r>
      <w:r w:rsidRPr="002A24C6">
        <w:t xml:space="preserve">and the ABS </w:t>
      </w:r>
      <w:r w:rsidR="007677C0" w:rsidRPr="002A24C6">
        <w:t xml:space="preserve">including them </w:t>
      </w:r>
      <w:r w:rsidRPr="002A24C6">
        <w:t>with owner-occupied dwellings)</w:t>
      </w:r>
      <w:r w:rsidR="009A3AD6" w:rsidRPr="002A24C6">
        <w:t xml:space="preserve">. </w:t>
      </w:r>
      <w:r w:rsidRPr="002A24C6">
        <w:t xml:space="preserve">The Statistics NZ approach, when applied to Australian data, lowered Australian economy-wide labour productivity growth by approximately 0.15 percent points per year over the period 1991 to 2008. This is around half of the gap in the economy-wide labour productivity growth rates. </w:t>
      </w:r>
    </w:p>
    <w:p w:rsidR="006B32AC" w:rsidRPr="002A24C6" w:rsidRDefault="006B32AC" w:rsidP="006B32AC">
      <w:pPr>
        <w:ind w:left="567"/>
      </w:pPr>
      <w:r w:rsidRPr="002A24C6">
        <w:t>Notwithstanding that the three government dominated industries outside the measured sector (</w:t>
      </w:r>
      <w:r w:rsidR="009D5E4D" w:rsidRPr="002A24C6">
        <w:t xml:space="preserve">‘government </w:t>
      </w:r>
      <w:r w:rsidRPr="002A24C6">
        <w:t>administration and defence</w:t>
      </w:r>
      <w:r w:rsidR="009D5E4D" w:rsidRPr="002A24C6">
        <w:t>’</w:t>
      </w:r>
      <w:r w:rsidRPr="002A24C6">
        <w:t xml:space="preserve">, </w:t>
      </w:r>
      <w:r w:rsidR="009D5E4D" w:rsidRPr="002A24C6">
        <w:t>‘e</w:t>
      </w:r>
      <w:r w:rsidRPr="002A24C6">
        <w:t>ducation</w:t>
      </w:r>
      <w:r w:rsidR="009D5E4D" w:rsidRPr="002A24C6">
        <w:t>’</w:t>
      </w:r>
      <w:r w:rsidRPr="002A24C6">
        <w:t xml:space="preserve">, and </w:t>
      </w:r>
      <w:r w:rsidR="009D5E4D" w:rsidRPr="002A24C6">
        <w:t>‘h</w:t>
      </w:r>
      <w:r w:rsidRPr="002A24C6">
        <w:t>ealth</w:t>
      </w:r>
      <w:r w:rsidR="009D5E4D" w:rsidRPr="002A24C6">
        <w:t>’</w:t>
      </w:r>
      <w:r w:rsidRPr="002A24C6">
        <w:t>) do not have independent measures of output and productivity</w:t>
      </w:r>
      <w:r w:rsidR="00ED0F15" w:rsidRPr="002A24C6">
        <w:t>.</w:t>
      </w:r>
      <w:r w:rsidRPr="002A24C6">
        <w:t xml:space="preserve"> </w:t>
      </w:r>
      <w:r w:rsidR="00ED0F15" w:rsidRPr="002A24C6">
        <w:t>T</w:t>
      </w:r>
      <w:r w:rsidRPr="002A24C6">
        <w:t xml:space="preserve">he evidence did not point to differences in these industries explaining any significant part of the economy-wide productivity growth gap. </w:t>
      </w:r>
    </w:p>
    <w:p w:rsidR="006B32AC" w:rsidRPr="00FF6F1F" w:rsidRDefault="006B32AC" w:rsidP="006B32AC">
      <w:pPr>
        <w:ind w:left="567"/>
      </w:pPr>
      <w:r w:rsidRPr="002A24C6">
        <w:t>‘Property and business services’ was a large industry outside the then measured sector whose (unofficial) productivity growth rate was negative in New Zealand and close to zero in Australia over the period 1998 to 2008</w:t>
      </w:r>
      <w:r w:rsidR="009A3AD6" w:rsidRPr="002A24C6">
        <w:t xml:space="preserve">. </w:t>
      </w:r>
      <w:r w:rsidRPr="002A24C6">
        <w:t>While some of this difference could reflect measurement problems, it was concluded that there was enough evidence to suggest a real difference in performance</w:t>
      </w:r>
      <w:r w:rsidR="008110FE" w:rsidRPr="002A24C6">
        <w:t>.</w:t>
      </w:r>
    </w:p>
    <w:p w:rsidR="006B32AC" w:rsidRDefault="00496501">
      <w:r>
        <w:t>The gap in g</w:t>
      </w:r>
      <w:r w:rsidR="00467FBE" w:rsidRPr="00467FBE">
        <w:t xml:space="preserve">rowth rates between the </w:t>
      </w:r>
      <w:r>
        <w:t>New Zealand and Australia</w:t>
      </w:r>
      <w:r w:rsidR="00467FBE" w:rsidRPr="00467FBE">
        <w:t xml:space="preserve"> began to accelerate</w:t>
      </w:r>
      <w:r>
        <w:t xml:space="preserve"> in the mid-1990s</w:t>
      </w:r>
      <w:r w:rsidR="009A3AD6" w:rsidRPr="00467FBE">
        <w:t xml:space="preserve">. </w:t>
      </w:r>
      <w:r w:rsidR="00467FBE" w:rsidRPr="00467FBE">
        <w:t xml:space="preserve">Figure 1 </w:t>
      </w:r>
      <w:proofErr w:type="gramStart"/>
      <w:r w:rsidR="00467FBE" w:rsidRPr="00467FBE">
        <w:t>show</w:t>
      </w:r>
      <w:r w:rsidR="009C6284">
        <w:t>s</w:t>
      </w:r>
      <w:proofErr w:type="gramEnd"/>
      <w:r w:rsidR="00467FBE" w:rsidRPr="00467FBE">
        <w:t xml:space="preserve"> how the gap between New Zealand and Australia economy</w:t>
      </w:r>
      <w:r>
        <w:t>-</w:t>
      </w:r>
      <w:r w:rsidR="00467FBE" w:rsidRPr="00467FBE">
        <w:t xml:space="preserve">wide GDP per hour has widened since </w:t>
      </w:r>
      <w:r w:rsidR="009C6284">
        <w:t>the late 1990s</w:t>
      </w:r>
      <w:r w:rsidR="00467FBE" w:rsidRPr="00467FBE">
        <w:t>.</w:t>
      </w:r>
    </w:p>
    <w:p w:rsidR="006B32AC" w:rsidRDefault="006B32AC" w:rsidP="006B32AC"/>
    <w:p w:rsidR="00467FBE" w:rsidRDefault="00467FBE" w:rsidP="00467FBE">
      <w:pPr>
        <w:pStyle w:val="StyleFigureTitle111ptBefore0ptAfter6pt"/>
      </w:pPr>
      <w:r w:rsidRPr="00DA11F1">
        <w:lastRenderedPageBreak/>
        <w:t xml:space="preserve">Figure </w:t>
      </w:r>
      <w:r w:rsidR="009C6284">
        <w:t>1</w:t>
      </w:r>
      <w:r>
        <w:br/>
        <w:t xml:space="preserve">Economy wide labour productivity </w:t>
      </w:r>
      <w:r w:rsidR="0011601E">
        <w:t>levels</w:t>
      </w:r>
      <w:r>
        <w:t xml:space="preserve"> – New Zealand and Australia</w:t>
      </w:r>
    </w:p>
    <w:p w:rsidR="00467FBE" w:rsidRDefault="00107FAA" w:rsidP="006B32AC">
      <w:r w:rsidRPr="00107FAA">
        <w:rPr>
          <w:noProof/>
          <w:lang w:eastAsia="en-NZ"/>
        </w:rPr>
        <w:drawing>
          <wp:inline distT="0" distB="0" distL="0" distR="0">
            <wp:extent cx="5534025" cy="3028950"/>
            <wp:effectExtent l="19050" t="0" r="9525"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534025" cy="3028950"/>
                    </a:xfrm>
                    <a:prstGeom prst="rect">
                      <a:avLst/>
                    </a:prstGeom>
                    <a:noFill/>
                    <a:ln w="9525">
                      <a:noFill/>
                      <a:miter lim="800000"/>
                      <a:headEnd/>
                      <a:tailEnd/>
                    </a:ln>
                  </pic:spPr>
                </pic:pic>
              </a:graphicData>
            </a:graphic>
          </wp:inline>
        </w:drawing>
      </w:r>
    </w:p>
    <w:p w:rsidR="00F66D79" w:rsidRDefault="00F66D79" w:rsidP="006B32AC"/>
    <w:p w:rsidR="00F66D79" w:rsidRDefault="00261A01" w:rsidP="00F66D79">
      <w:pPr>
        <w:pStyle w:val="Heading3"/>
      </w:pPr>
      <w:r>
        <w:t xml:space="preserve">3 </w:t>
      </w:r>
      <w:r w:rsidR="00F66D79" w:rsidRPr="002A24C6">
        <w:t xml:space="preserve">What has changed since </w:t>
      </w:r>
      <w:r w:rsidR="00F66D79" w:rsidRPr="002A24C6">
        <w:rPr>
          <w:i/>
        </w:rPr>
        <w:t>Taking on the West Island</w:t>
      </w:r>
      <w:r w:rsidR="00F66D79" w:rsidRPr="002A24C6">
        <w:t xml:space="preserve"> (2010)</w:t>
      </w:r>
    </w:p>
    <w:p w:rsidR="00F66D79" w:rsidRDefault="00F66D79" w:rsidP="00F66D79">
      <w:r>
        <w:t xml:space="preserve">Since 2010, </w:t>
      </w:r>
      <w:r w:rsidR="008045AE">
        <w:t xml:space="preserve">the </w:t>
      </w:r>
      <w:r>
        <w:t>A</w:t>
      </w:r>
      <w:r w:rsidR="008045AE">
        <w:t xml:space="preserve">ustralian </w:t>
      </w:r>
      <w:r>
        <w:t>B</w:t>
      </w:r>
      <w:r w:rsidR="008045AE">
        <w:t xml:space="preserve">ureau of </w:t>
      </w:r>
      <w:r>
        <w:t>S</w:t>
      </w:r>
      <w:r w:rsidR="008045AE">
        <w:t>tatistics (ABS)</w:t>
      </w:r>
      <w:r w:rsidR="000C74FF">
        <w:t xml:space="preserve"> and</w:t>
      </w:r>
      <w:r>
        <w:t xml:space="preserve"> Statistics NZ, and the O</w:t>
      </w:r>
      <w:r w:rsidR="008045AE">
        <w:t>rganisation of Economic Co-operation and Development (O</w:t>
      </w:r>
      <w:r>
        <w:t>ECD</w:t>
      </w:r>
      <w:r w:rsidR="008045AE">
        <w:t xml:space="preserve">) have </w:t>
      </w:r>
      <w:r w:rsidR="004B47EA">
        <w:t>made developments in</w:t>
      </w:r>
      <w:r w:rsidR="008045AE">
        <w:t xml:space="preserve"> how they measure productivity.</w:t>
      </w:r>
    </w:p>
    <w:p w:rsidR="00113440" w:rsidRDefault="00F66D79" w:rsidP="001D032B">
      <w:pPr>
        <w:pStyle w:val="ListBullet"/>
      </w:pPr>
      <w:r>
        <w:t>The ABS now reports their productivity statistics using the new Australian and New Zealand Standard Industrial Classification 2006 (ANZSIC06)</w:t>
      </w:r>
      <w:r w:rsidR="009A3AD6">
        <w:t xml:space="preserve">. </w:t>
      </w:r>
      <w:r>
        <w:t xml:space="preserve">Statistics NZ </w:t>
      </w:r>
      <w:r w:rsidR="0073520F">
        <w:t xml:space="preserve">is currently using an older version of this classification (ANZSIC1996), but </w:t>
      </w:r>
      <w:r>
        <w:t>will publish produc</w:t>
      </w:r>
      <w:r w:rsidR="008A2EE9">
        <w:t>tivity statistics under ANZSIC</w:t>
      </w:r>
      <w:r>
        <w:t xml:space="preserve">06 later in 2012. </w:t>
      </w:r>
    </w:p>
    <w:p w:rsidR="00216712" w:rsidRDefault="00113440" w:rsidP="001D032B">
      <w:pPr>
        <w:pStyle w:val="ListBullet"/>
      </w:pPr>
      <w:r>
        <w:t xml:space="preserve">Because the ABS now </w:t>
      </w:r>
      <w:r w:rsidR="0073520F">
        <w:t xml:space="preserve">uses the new industry classification when </w:t>
      </w:r>
      <w:r>
        <w:t>publish</w:t>
      </w:r>
      <w:r w:rsidR="0073520F">
        <w:t>ing</w:t>
      </w:r>
      <w:r>
        <w:t xml:space="preserve"> their national accounts and productivity data, trans-Tasman industry comparisons are less valid</w:t>
      </w:r>
      <w:r w:rsidR="0073520F">
        <w:t>. However,</w:t>
      </w:r>
      <w:r>
        <w:t xml:space="preserve"> aggregate productivity measures can still be compared. </w:t>
      </w:r>
      <w:r w:rsidR="0073520F">
        <w:t>The trans-Tasman industry growth rate comparison will be updated, when Statistics NZ publishes</w:t>
      </w:r>
      <w:r>
        <w:t xml:space="preserve"> productivity statistics </w:t>
      </w:r>
      <w:r w:rsidR="000C74FF">
        <w:t>using</w:t>
      </w:r>
      <w:r>
        <w:t xml:space="preserve"> A</w:t>
      </w:r>
      <w:r w:rsidR="008A2EE9">
        <w:t>NZSIC</w:t>
      </w:r>
      <w:r>
        <w:t>06</w:t>
      </w:r>
      <w:r w:rsidR="0073520F">
        <w:t>.</w:t>
      </w:r>
      <w:r w:rsidR="007677C0">
        <w:t xml:space="preserve"> </w:t>
      </w:r>
    </w:p>
    <w:p w:rsidR="00F66D79" w:rsidRDefault="00F66D79" w:rsidP="001D032B">
      <w:pPr>
        <w:pStyle w:val="ListBullet"/>
      </w:pPr>
      <w:r>
        <w:t xml:space="preserve">The ABS market sector coverage has increased </w:t>
      </w:r>
      <w:r w:rsidR="000C74FF">
        <w:t>to include the following ANZSIC</w:t>
      </w:r>
      <w:r>
        <w:t xml:space="preserve">06 industries: </w:t>
      </w:r>
      <w:r w:rsidR="00E736A3">
        <w:t>r</w:t>
      </w:r>
      <w:r>
        <w:t xml:space="preserve">ental, hiring and real estate services; </w:t>
      </w:r>
      <w:r w:rsidR="00E736A3">
        <w:t>professional</w:t>
      </w:r>
      <w:r>
        <w:t>, scientific</w:t>
      </w:r>
      <w:r w:rsidR="00E736A3">
        <w:t>,</w:t>
      </w:r>
      <w:r>
        <w:t xml:space="preserve"> and technical services; </w:t>
      </w:r>
      <w:r w:rsidR="00E736A3">
        <w:t>administrative</w:t>
      </w:r>
      <w:r>
        <w:t>, and support services; and other services</w:t>
      </w:r>
      <w:r w:rsidR="001B48BE">
        <w:t xml:space="preserve">.  This has increased the coverage of the ABS market sector to around </w:t>
      </w:r>
      <w:r>
        <w:t>77 percent of the Australian economy</w:t>
      </w:r>
      <w:r w:rsidRPr="000C74FF">
        <w:t xml:space="preserve">, compared </w:t>
      </w:r>
      <w:r w:rsidR="00E736A3" w:rsidRPr="000C74FF">
        <w:t>with</w:t>
      </w:r>
      <w:r w:rsidR="000C74FF" w:rsidRPr="000C74FF">
        <w:t xml:space="preserve"> the previous</w:t>
      </w:r>
      <w:r w:rsidR="00E736A3" w:rsidRPr="000C74FF">
        <w:t xml:space="preserve"> </w:t>
      </w:r>
      <w:r w:rsidRPr="000C74FF">
        <w:t>62 percent</w:t>
      </w:r>
      <w:r w:rsidR="000C74FF">
        <w:t>.</w:t>
      </w:r>
      <w:r>
        <w:t xml:space="preserve"> The associated productivity statistics are termed ‘MFP16’ and </w:t>
      </w:r>
      <w:r w:rsidR="003B40D1">
        <w:t>data is available from</w:t>
      </w:r>
      <w:r>
        <w:t xml:space="preserve"> 1995</w:t>
      </w:r>
      <w:r w:rsidR="00EC22D3">
        <w:rPr>
          <w:rStyle w:val="FootnoteReference"/>
        </w:rPr>
        <w:footnoteReference w:id="1"/>
      </w:r>
      <w:r w:rsidR="003B40D1">
        <w:t xml:space="preserve"> onward</w:t>
      </w:r>
      <w:r>
        <w:t xml:space="preserve">. </w:t>
      </w:r>
    </w:p>
    <w:p w:rsidR="006A7483" w:rsidRDefault="00F66D79" w:rsidP="001D032B">
      <w:pPr>
        <w:pStyle w:val="ListBullet"/>
      </w:pPr>
      <w:r>
        <w:t xml:space="preserve">Statistics NZ </w:t>
      </w:r>
      <w:r w:rsidR="00C23C50">
        <w:t>has also expanded the coverage of their productivity statistics</w:t>
      </w:r>
      <w:r w:rsidR="003B40D1">
        <w:t>. New Zealand’s ‘</w:t>
      </w:r>
      <w:r>
        <w:t>measured sector</w:t>
      </w:r>
      <w:r w:rsidR="003B40D1">
        <w:t>’</w:t>
      </w:r>
      <w:r>
        <w:t xml:space="preserve"> </w:t>
      </w:r>
      <w:r w:rsidR="003B40D1">
        <w:t xml:space="preserve">now includes </w:t>
      </w:r>
      <w:r>
        <w:t>the following ANZSIC1996 industries: property</w:t>
      </w:r>
      <w:r w:rsidR="000C74FF">
        <w:t xml:space="preserve"> and business</w:t>
      </w:r>
      <w:r>
        <w:t xml:space="preserve"> services; and </w:t>
      </w:r>
      <w:r w:rsidR="003B40D1">
        <w:t xml:space="preserve">personal </w:t>
      </w:r>
      <w:r>
        <w:t xml:space="preserve">and community services. </w:t>
      </w:r>
      <w:r w:rsidR="003B40D1">
        <w:t>The</w:t>
      </w:r>
      <w:r>
        <w:t xml:space="preserve"> measured sector </w:t>
      </w:r>
      <w:r w:rsidR="003B40D1">
        <w:t>now covers</w:t>
      </w:r>
      <w:r>
        <w:t xml:space="preserve"> around 80 percent of the economy, and is comparable in size and coverage to the ABS’s expanded market sector (MFP16). </w:t>
      </w:r>
      <w:r w:rsidR="003B40D1">
        <w:t>Data for property</w:t>
      </w:r>
      <w:r w:rsidR="000C74FF">
        <w:t xml:space="preserve"> and business</w:t>
      </w:r>
      <w:r w:rsidR="003B40D1">
        <w:t xml:space="preserve"> services; and personal and community services is included in New Zealand’s productivity statistics from</w:t>
      </w:r>
      <w:r>
        <w:t xml:space="preserve"> 1996 onward.</w:t>
      </w:r>
    </w:p>
    <w:p w:rsidR="00F44F8F" w:rsidRDefault="003D7138" w:rsidP="001D032B">
      <w:pPr>
        <w:pStyle w:val="ListBullet"/>
      </w:pPr>
      <w:r>
        <w:t>However, t</w:t>
      </w:r>
      <w:r w:rsidR="00F44F8F">
        <w:t xml:space="preserve">here is still a </w:t>
      </w:r>
      <w:r w:rsidR="007677C0">
        <w:t xml:space="preserve">significant </w:t>
      </w:r>
      <w:r w:rsidR="00F44F8F">
        <w:t>difference in coverage between the ABS MFP16 and Statistics NZ measured sector</w:t>
      </w:r>
      <w:r w:rsidR="009A3AD6">
        <w:t xml:space="preserve">. </w:t>
      </w:r>
      <w:r w:rsidR="00F44F8F">
        <w:t>Statistics NZ include in their measured sector the economic activity of private landlords while the ABS does not.</w:t>
      </w:r>
    </w:p>
    <w:p w:rsidR="00002341" w:rsidRDefault="00F66D79" w:rsidP="001D032B">
      <w:pPr>
        <w:pStyle w:val="ListBullet"/>
      </w:pPr>
      <w:r>
        <w:lastRenderedPageBreak/>
        <w:t>Statistics NZ now produce</w:t>
      </w:r>
      <w:r w:rsidR="00906496">
        <w:t>s</w:t>
      </w:r>
      <w:r>
        <w:t xml:space="preserve"> estimates of the level of hours paid by industry (for aggregated industries in the measured sector).  This enables users </w:t>
      </w:r>
      <w:r w:rsidR="000C74FF">
        <w:t>to compare</w:t>
      </w:r>
      <w:r>
        <w:t xml:space="preserve"> labour productivity level</w:t>
      </w:r>
      <w:r w:rsidR="000C74FF">
        <w:t xml:space="preserve">s </w:t>
      </w:r>
      <w:r>
        <w:t>between industries in New Zealand.</w:t>
      </w:r>
      <w:r w:rsidR="00EB4393">
        <w:t xml:space="preserve">  </w:t>
      </w:r>
    </w:p>
    <w:p w:rsidR="009B58A5" w:rsidRDefault="00906496" w:rsidP="001D032B">
      <w:pPr>
        <w:pStyle w:val="ListBullet"/>
      </w:pPr>
      <w:r>
        <w:t>It is stil</w:t>
      </w:r>
      <w:r w:rsidR="006A7483">
        <w:t xml:space="preserve">l difficult to compare industry </w:t>
      </w:r>
      <w:r w:rsidR="00EB4393">
        <w:t>labour productivity</w:t>
      </w:r>
      <w:r w:rsidR="006A7483">
        <w:t xml:space="preserve"> levels</w:t>
      </w:r>
      <w:r w:rsidR="00EB4393">
        <w:t xml:space="preserve"> with Australia</w:t>
      </w:r>
      <w:r>
        <w:t xml:space="preserve">, </w:t>
      </w:r>
      <w:r w:rsidR="00EB4393">
        <w:t>b</w:t>
      </w:r>
      <w:r w:rsidR="00EB4393" w:rsidRPr="006A7483">
        <w:t xml:space="preserve">ut </w:t>
      </w:r>
      <w:r w:rsidR="007677C0" w:rsidRPr="006A7483">
        <w:t xml:space="preserve">the </w:t>
      </w:r>
      <w:r w:rsidR="006A7483" w:rsidRPr="006A7483">
        <w:t>labour hours paid</w:t>
      </w:r>
      <w:r w:rsidR="007677C0" w:rsidRPr="006A7483">
        <w:t xml:space="preserve"> series g</w:t>
      </w:r>
      <w:r w:rsidR="007677C0">
        <w:t>o</w:t>
      </w:r>
      <w:r w:rsidR="00EB4393">
        <w:t xml:space="preserve"> some way towards achieving this goal. </w:t>
      </w:r>
      <w:r w:rsidR="009B58A5">
        <w:t xml:space="preserve">Although there have been some recent attempts to compare New Zealand and Australian productivity levels on an industry basis (NZIER, 2011), further work is scheduled for 2012 that will revisit these comparisons in </w:t>
      </w:r>
      <w:r w:rsidR="009B58A5" w:rsidRPr="006A7483">
        <w:t>te</w:t>
      </w:r>
      <w:r w:rsidR="00002341" w:rsidRPr="006A7483">
        <w:t>rms of industry</w:t>
      </w:r>
      <w:r w:rsidR="008F7B23" w:rsidRPr="006A7483">
        <w:t>-</w:t>
      </w:r>
      <w:r w:rsidR="00002341" w:rsidRPr="006A7483">
        <w:t xml:space="preserve">specific </w:t>
      </w:r>
      <w:r w:rsidR="006A7483" w:rsidRPr="006A7483">
        <w:t>purchasing power parities (</w:t>
      </w:r>
      <w:r w:rsidR="00002341" w:rsidRPr="006A7483">
        <w:t>PPPs</w:t>
      </w:r>
      <w:r w:rsidR="006A7483" w:rsidRPr="006A7483">
        <w:t>)</w:t>
      </w:r>
      <w:r w:rsidR="00002341" w:rsidRPr="006A7483">
        <w:t xml:space="preserve">.  Earlier work </w:t>
      </w:r>
      <w:r w:rsidR="008D0E25" w:rsidRPr="006A7483">
        <w:t xml:space="preserve">comparing </w:t>
      </w:r>
      <w:r w:rsidR="00002341" w:rsidRPr="006A7483">
        <w:t xml:space="preserve">trans-Tasman industry productivity levels </w:t>
      </w:r>
      <w:r w:rsidR="00113440" w:rsidRPr="006A7483">
        <w:t xml:space="preserve">was undertaken </w:t>
      </w:r>
      <w:r w:rsidR="008D0E25" w:rsidRPr="006A7483">
        <w:t>before</w:t>
      </w:r>
      <w:r w:rsidR="00113440" w:rsidRPr="006A7483">
        <w:t xml:space="preserve"> </w:t>
      </w:r>
      <w:r w:rsidR="008D0E25" w:rsidRPr="006A7483">
        <w:t>Statistics NZ and ABS</w:t>
      </w:r>
      <w:r w:rsidR="00113440" w:rsidRPr="006A7483">
        <w:t xml:space="preserve"> release</w:t>
      </w:r>
      <w:r w:rsidR="008D0E25" w:rsidRPr="006A7483">
        <w:t>d</w:t>
      </w:r>
      <w:r w:rsidR="00113440" w:rsidRPr="006A7483">
        <w:t xml:space="preserve"> official productivity statistics (I</w:t>
      </w:r>
      <w:r w:rsidR="004640B1" w:rsidRPr="006A7483">
        <w:t xml:space="preserve">nternational </w:t>
      </w:r>
      <w:r w:rsidR="00113440" w:rsidRPr="006A7483">
        <w:t>M</w:t>
      </w:r>
      <w:r w:rsidR="004640B1" w:rsidRPr="006A7483">
        <w:t xml:space="preserve">onetary </w:t>
      </w:r>
      <w:r w:rsidR="00113440" w:rsidRPr="006A7483">
        <w:t>F</w:t>
      </w:r>
      <w:r w:rsidR="004640B1" w:rsidRPr="006A7483">
        <w:t>und</w:t>
      </w:r>
      <w:r w:rsidR="00113440" w:rsidRPr="006A7483">
        <w:t>, 2002).</w:t>
      </w:r>
      <w:r w:rsidR="002669F8" w:rsidRPr="006A7483">
        <w:t xml:space="preserve"> A detailed comparison of New Zealand and UK industry productivity levels was carried out by Mason and Osborne (2007).</w:t>
      </w:r>
      <w:r w:rsidR="002669F8">
        <w:t xml:space="preserve">  </w:t>
      </w:r>
    </w:p>
    <w:p w:rsidR="007677C0" w:rsidRDefault="00F66D79" w:rsidP="001D032B">
      <w:pPr>
        <w:pStyle w:val="ListBullet"/>
      </w:pPr>
      <w:r>
        <w:t xml:space="preserve">Since 2003, the OECD Productivity </w:t>
      </w:r>
      <w:r w:rsidR="004D1D45">
        <w:t xml:space="preserve">Database </w:t>
      </w:r>
      <w:r>
        <w:t>(PDB) has provided time series of productivity measures and their components</w:t>
      </w:r>
      <w:r w:rsidR="004D1D45">
        <w:t>. The database</w:t>
      </w:r>
      <w:r>
        <w:t xml:space="preserve"> primarily </w:t>
      </w:r>
      <w:r w:rsidR="004D1D45">
        <w:t>contains</w:t>
      </w:r>
      <w:r>
        <w:t xml:space="preserve"> economy-wide </w:t>
      </w:r>
      <w:r w:rsidR="00E74430">
        <w:t>data</w:t>
      </w:r>
      <w:r w:rsidR="009A3AD6">
        <w:t xml:space="preserve">. </w:t>
      </w:r>
      <w:r>
        <w:t>The OECD has recently published new productivity measures by industry (PDBi), for twenty OECD countries</w:t>
      </w:r>
      <w:r w:rsidR="000E1AA8">
        <w:t xml:space="preserve">. However, the OECD did not publish any information about </w:t>
      </w:r>
      <w:r>
        <w:t xml:space="preserve">Australia </w:t>
      </w:r>
      <w:r w:rsidR="000E1AA8">
        <w:t xml:space="preserve">or </w:t>
      </w:r>
      <w:r>
        <w:t>New Zealand</w:t>
      </w:r>
      <w:r w:rsidR="000E1AA8">
        <w:t xml:space="preserve"> </w:t>
      </w:r>
      <w:r>
        <w:t>(see Arnaud</w:t>
      </w:r>
      <w:r w:rsidR="00EC22D3">
        <w:t>, Dupont, Koh and Schreyer, 2011</w:t>
      </w:r>
      <w:r>
        <w:t>).</w:t>
      </w:r>
      <w:r w:rsidR="00EB4393">
        <w:t xml:space="preserve">  </w:t>
      </w:r>
    </w:p>
    <w:p w:rsidR="00F66D79" w:rsidRDefault="0048416C" w:rsidP="00F66D79">
      <w:r>
        <w:t>Table 1</w:t>
      </w:r>
      <w:r w:rsidR="00F66D79">
        <w:t xml:space="preserve"> </w:t>
      </w:r>
      <w:proofErr w:type="gramStart"/>
      <w:r w:rsidR="00F66D79">
        <w:t>shows</w:t>
      </w:r>
      <w:proofErr w:type="gramEnd"/>
      <w:r w:rsidR="00F66D79">
        <w:t xml:space="preserve"> the industries included in the ABS MFP16 series, the Statistics NZ current measured sector, together with other industries and components of nominal GDP.  </w:t>
      </w:r>
    </w:p>
    <w:p w:rsidR="006208F5" w:rsidRPr="008A2EE9" w:rsidRDefault="00F66D79" w:rsidP="006208F5">
      <w:pPr>
        <w:pStyle w:val="TableTitle11pt"/>
        <w:rPr>
          <w:b w:val="0"/>
          <w:vertAlign w:val="superscript"/>
        </w:rPr>
      </w:pPr>
      <w:r w:rsidRPr="00DA11F1">
        <w:t>Table 1</w:t>
      </w:r>
      <w:r>
        <w:br/>
      </w:r>
      <w:r w:rsidR="00860EA0">
        <w:t>Coverage of official statistics – Australia’s MFP16 and New Zealand’s measured sector</w:t>
      </w:r>
      <w:r w:rsidR="008A2EE9">
        <w:t xml:space="preserve"> </w:t>
      </w:r>
      <w:r w:rsidR="008A2EE9">
        <w:rPr>
          <w:b w:val="0"/>
          <w:vertAlign w:val="superscript"/>
        </w:rPr>
        <w:t>(1)</w:t>
      </w:r>
    </w:p>
    <w:p w:rsidR="00F66D79" w:rsidRDefault="008A2EE9" w:rsidP="006208F5">
      <w:pPr>
        <w:pStyle w:val="TableTitle11pt"/>
      </w:pPr>
      <w:r w:rsidRPr="008A2EE9">
        <w:rPr>
          <w:noProof/>
          <w:lang w:val="en-NZ" w:eastAsia="en-NZ"/>
        </w:rPr>
        <w:drawing>
          <wp:inline distT="0" distB="0" distL="0" distR="0">
            <wp:extent cx="5731510" cy="4100408"/>
            <wp:effectExtent l="19050" t="0" r="254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srcRect/>
                    <a:stretch>
                      <a:fillRect/>
                    </a:stretch>
                  </pic:blipFill>
                  <pic:spPr bwMode="auto">
                    <a:xfrm>
                      <a:off x="0" y="0"/>
                      <a:ext cx="5731510" cy="4100408"/>
                    </a:xfrm>
                    <a:prstGeom prst="rect">
                      <a:avLst/>
                    </a:prstGeom>
                    <a:noFill/>
                    <a:ln w="9525">
                      <a:noFill/>
                      <a:miter lim="800000"/>
                      <a:headEnd/>
                      <a:tailEnd/>
                    </a:ln>
                  </pic:spPr>
                </pic:pic>
              </a:graphicData>
            </a:graphic>
          </wp:inline>
        </w:drawing>
      </w:r>
    </w:p>
    <w:p w:rsidR="00F66D79" w:rsidRDefault="00F66D79" w:rsidP="00F66D79"/>
    <w:p w:rsidR="00860EA0" w:rsidRDefault="00261A01" w:rsidP="00860EA0">
      <w:pPr>
        <w:pStyle w:val="Heading3"/>
      </w:pPr>
      <w:r>
        <w:lastRenderedPageBreak/>
        <w:t xml:space="preserve">4 </w:t>
      </w:r>
      <w:r w:rsidR="00860EA0">
        <w:t xml:space="preserve">Puzzles, reconciliations, and outstanding methodological issues </w:t>
      </w:r>
    </w:p>
    <w:p w:rsidR="00FE5C49" w:rsidRDefault="00860EA0" w:rsidP="002669F8">
      <w:r w:rsidRPr="00860EA0">
        <w:t xml:space="preserve">Table 2 is based on the wider official productivity definitions </w:t>
      </w:r>
      <w:r w:rsidR="00FE5C49">
        <w:t>used by New Zealand and Australia (</w:t>
      </w:r>
      <w:r w:rsidR="00400B72">
        <w:t xml:space="preserve">the </w:t>
      </w:r>
      <w:r w:rsidRPr="00860EA0">
        <w:t>measured sector</w:t>
      </w:r>
      <w:r w:rsidR="002A04DA">
        <w:t xml:space="preserve"> and MFP16</w:t>
      </w:r>
      <w:r w:rsidR="00FE5C49">
        <w:t>)</w:t>
      </w:r>
      <w:r w:rsidR="009A3AD6" w:rsidRPr="00860EA0">
        <w:t xml:space="preserve">. </w:t>
      </w:r>
      <w:r w:rsidR="00FE5C49">
        <w:t xml:space="preserve">Statistics NZ and ABS now measure productivity </w:t>
      </w:r>
      <w:r w:rsidR="002A04DA">
        <w:t>for</w:t>
      </w:r>
      <w:r w:rsidR="00FE5C49">
        <w:t xml:space="preserve"> 80 and 77 percent of their respective economies</w:t>
      </w:r>
      <w:r w:rsidR="002A04DA">
        <w:t>.</w:t>
      </w:r>
      <w:r w:rsidR="00FE5C49">
        <w:t xml:space="preserve"> </w:t>
      </w:r>
      <w:r w:rsidR="00400B72">
        <w:t>T</w:t>
      </w:r>
      <w:r w:rsidR="00400B72" w:rsidRPr="00860EA0">
        <w:t xml:space="preserve">he industries </w:t>
      </w:r>
      <w:r w:rsidR="00FE5C49">
        <w:t xml:space="preserve">not included in </w:t>
      </w:r>
      <w:r w:rsidR="00400B72" w:rsidRPr="00860EA0">
        <w:t xml:space="preserve">MFP16 and the measured </w:t>
      </w:r>
      <w:proofErr w:type="gramStart"/>
      <w:r w:rsidR="00400B72" w:rsidRPr="00860EA0">
        <w:t>sector are</w:t>
      </w:r>
      <w:proofErr w:type="gramEnd"/>
      <w:r w:rsidR="00400B72" w:rsidRPr="00860EA0">
        <w:t xml:space="preserve"> government</w:t>
      </w:r>
      <w:r w:rsidR="00FE5C49">
        <w:t>-</w:t>
      </w:r>
      <w:r w:rsidR="00400B72" w:rsidRPr="00860EA0">
        <w:t xml:space="preserve">dominated industries that do not have </w:t>
      </w:r>
      <w:r w:rsidR="00400B72">
        <w:t>output measures suitable for the calculation of productivity estimates</w:t>
      </w:r>
      <w:r w:rsidR="00400B72">
        <w:rPr>
          <w:rStyle w:val="FootnoteReference"/>
        </w:rPr>
        <w:t xml:space="preserve"> </w:t>
      </w:r>
      <w:r w:rsidR="00BC1E19">
        <w:rPr>
          <w:rStyle w:val="FootnoteReference"/>
        </w:rPr>
        <w:footnoteReference w:id="2"/>
      </w:r>
      <w:r w:rsidR="002669F8">
        <w:t xml:space="preserve">. </w:t>
      </w:r>
    </w:p>
    <w:p w:rsidR="002669F8" w:rsidRDefault="00FE5C49" w:rsidP="002669F8">
      <w:r>
        <w:t>T</w:t>
      </w:r>
      <w:r w:rsidR="002669F8" w:rsidRPr="00860EA0">
        <w:t xml:space="preserve">he analysis in this table will be updated </w:t>
      </w:r>
      <w:r>
        <w:t>when Statistics NZ starts publishing productivity statistics</w:t>
      </w:r>
      <w:r w:rsidR="00C23C50">
        <w:t xml:space="preserve"> using ANZSIC06</w:t>
      </w:r>
      <w:r w:rsidR="002669F8" w:rsidRPr="00860EA0">
        <w:t xml:space="preserve"> later in 2012</w:t>
      </w:r>
      <w:r w:rsidR="009A3AD6" w:rsidRPr="00860EA0">
        <w:t xml:space="preserve">. </w:t>
      </w:r>
      <w:r w:rsidR="00EE2758" w:rsidRPr="00860EA0">
        <w:t xml:space="preserve">Table 2 is an updated and modified version of </w:t>
      </w:r>
      <w:r w:rsidR="00EE2758">
        <w:t>t</w:t>
      </w:r>
      <w:r w:rsidR="00EE2758" w:rsidRPr="00860EA0">
        <w:t xml:space="preserve">able 2 </w:t>
      </w:r>
      <w:r w:rsidR="00EE2758">
        <w:t xml:space="preserve">in </w:t>
      </w:r>
      <w:r w:rsidR="00EE2758" w:rsidRPr="00427A9F">
        <w:rPr>
          <w:i/>
        </w:rPr>
        <w:t xml:space="preserve">Taking on the West Island: How does New Zealand’s labour productivity stack up? </w:t>
      </w:r>
      <w:r w:rsidR="00EE2758" w:rsidRPr="004A10DF">
        <w:t>(Statistics NZ</w:t>
      </w:r>
      <w:r w:rsidR="00663095">
        <w:t>,</w:t>
      </w:r>
      <w:r w:rsidR="00EE2758" w:rsidRPr="004A10DF">
        <w:t xml:space="preserve"> 2010</w:t>
      </w:r>
      <w:r w:rsidR="002476FC">
        <w:t>b</w:t>
      </w:r>
      <w:r w:rsidR="00EE2758" w:rsidRPr="004A10DF">
        <w:t>)</w:t>
      </w:r>
      <w:r w:rsidR="00EE2758" w:rsidRPr="00860EA0">
        <w:t>.</w:t>
      </w:r>
    </w:p>
    <w:p w:rsidR="00BC1E19" w:rsidRDefault="002669F8" w:rsidP="00BC1E19">
      <w:r w:rsidRPr="002669F8">
        <w:t xml:space="preserve">One reason for </w:t>
      </w:r>
      <w:r w:rsidR="00BC1E19" w:rsidRPr="002669F8">
        <w:t xml:space="preserve">emphasising the post 1996 </w:t>
      </w:r>
      <w:r w:rsidRPr="002669F8">
        <w:t xml:space="preserve">is that </w:t>
      </w:r>
      <w:r w:rsidR="002A04DA">
        <w:t>this</w:t>
      </w:r>
      <w:r w:rsidR="00BC1E19" w:rsidRPr="002669F8">
        <w:t xml:space="preserve"> period </w:t>
      </w:r>
      <w:r w:rsidRPr="002669F8">
        <w:t xml:space="preserve">is </w:t>
      </w:r>
      <w:r w:rsidR="00BC1E19" w:rsidRPr="002669F8">
        <w:t>less prone to data quality issues</w:t>
      </w:r>
      <w:r w:rsidR="009A3AD6" w:rsidRPr="002669F8">
        <w:t xml:space="preserve">. </w:t>
      </w:r>
      <w:r w:rsidR="00BC1E19" w:rsidRPr="002669F8">
        <w:t xml:space="preserve">For example, </w:t>
      </w:r>
      <w:r w:rsidR="00254278" w:rsidRPr="00427A9F">
        <w:rPr>
          <w:i/>
        </w:rPr>
        <w:t>Taking on the West Island: How does New Zealand’s labour productivity stack up?</w:t>
      </w:r>
      <w:r w:rsidR="00254278" w:rsidRPr="002669F8" w:rsidDel="00254278">
        <w:t xml:space="preserve"> </w:t>
      </w:r>
      <w:r w:rsidR="00BC1E19" w:rsidRPr="002669F8">
        <w:t xml:space="preserve">(pg.12) noted some </w:t>
      </w:r>
      <w:r w:rsidR="00254278">
        <w:t>that there was some</w:t>
      </w:r>
      <w:r w:rsidR="00254278" w:rsidRPr="002669F8">
        <w:t xml:space="preserve"> </w:t>
      </w:r>
      <w:r w:rsidR="00BC1E19" w:rsidRPr="002669F8">
        <w:t>evidence that redesign of the H</w:t>
      </w:r>
      <w:r w:rsidR="00CE074E">
        <w:t xml:space="preserve">ousehold </w:t>
      </w:r>
      <w:r w:rsidR="00BC1E19" w:rsidRPr="002669F8">
        <w:t>L</w:t>
      </w:r>
      <w:r w:rsidR="00CE074E">
        <w:t xml:space="preserve">abour </w:t>
      </w:r>
      <w:r w:rsidR="00BC1E19" w:rsidRPr="002669F8">
        <w:t>F</w:t>
      </w:r>
      <w:r w:rsidR="00CE074E">
        <w:t xml:space="preserve">orce </w:t>
      </w:r>
      <w:r w:rsidR="00BC1E19" w:rsidRPr="002669F8">
        <w:t>S</w:t>
      </w:r>
      <w:r w:rsidR="00CE074E">
        <w:t>urvey</w:t>
      </w:r>
      <w:r w:rsidR="00AF2A34">
        <w:t xml:space="preserve"> (HLFS)</w:t>
      </w:r>
      <w:r w:rsidR="00BC1E19" w:rsidRPr="002669F8">
        <w:t xml:space="preserve"> in 1993-94 overstated growth in actual hours worked over this period. </w:t>
      </w:r>
      <w:r w:rsidR="00080E3F">
        <w:t>Significant economic reform took place before 1996.</w:t>
      </w:r>
      <w:r w:rsidR="005539FD">
        <w:t xml:space="preserve"> So, a</w:t>
      </w:r>
      <w:r w:rsidRPr="002669F8">
        <w:t xml:space="preserve"> second, perhaps</w:t>
      </w:r>
      <w:r>
        <w:t xml:space="preserve"> more subjective reason</w:t>
      </w:r>
      <w:r w:rsidR="00BC1E19">
        <w:t xml:space="preserve">, </w:t>
      </w:r>
      <w:r>
        <w:t xml:space="preserve">is that </w:t>
      </w:r>
      <w:r w:rsidR="00BC1E19">
        <w:t xml:space="preserve">the </w:t>
      </w:r>
      <w:r w:rsidR="00080E3F">
        <w:t xml:space="preserve">using data after 1996 means that </w:t>
      </w:r>
      <w:r w:rsidR="00BC1E19">
        <w:t xml:space="preserve">observed productivity is potentially less affected by adjustment processes and more reflective of structural trends. </w:t>
      </w:r>
    </w:p>
    <w:p w:rsidR="001A61FC" w:rsidRDefault="001A61FC" w:rsidP="001A61FC">
      <w:pPr>
        <w:pStyle w:val="TableTitle11pt"/>
      </w:pPr>
      <w:r>
        <w:t>Table 2</w:t>
      </w:r>
    </w:p>
    <w:p w:rsidR="00261A01" w:rsidRPr="006208F5" w:rsidRDefault="00261A01" w:rsidP="00261A01">
      <w:pPr>
        <w:spacing w:after="0"/>
        <w:rPr>
          <w:b/>
          <w:vertAlign w:val="superscript"/>
        </w:rPr>
      </w:pPr>
      <w:r>
        <w:rPr>
          <w:b/>
        </w:rPr>
        <w:t>Labour productivity growth (average annual growth) 1996-2011</w:t>
      </w:r>
      <w:r w:rsidR="006208F5">
        <w:rPr>
          <w:b/>
          <w:vertAlign w:val="superscript"/>
        </w:rPr>
        <w:t>(1)</w:t>
      </w:r>
    </w:p>
    <w:p w:rsidR="006208F5" w:rsidRDefault="006208F5" w:rsidP="00261A01">
      <w:pPr>
        <w:spacing w:after="0"/>
        <w:rPr>
          <w:b/>
        </w:rPr>
      </w:pPr>
    </w:p>
    <w:p w:rsidR="00860EA0" w:rsidRDefault="002578EB" w:rsidP="00261A01">
      <w:r w:rsidRPr="002578EB">
        <w:rPr>
          <w:noProof/>
          <w:lang w:eastAsia="en-NZ"/>
        </w:rPr>
        <w:drawing>
          <wp:inline distT="0" distB="0" distL="0" distR="0">
            <wp:extent cx="5731510" cy="2377019"/>
            <wp:effectExtent l="19050" t="0" r="254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731510" cy="2377019"/>
                    </a:xfrm>
                    <a:prstGeom prst="rect">
                      <a:avLst/>
                    </a:prstGeom>
                    <a:noFill/>
                    <a:ln w="9525">
                      <a:noFill/>
                      <a:miter lim="800000"/>
                      <a:headEnd/>
                      <a:tailEnd/>
                    </a:ln>
                  </pic:spPr>
                </pic:pic>
              </a:graphicData>
            </a:graphic>
          </wp:inline>
        </w:drawing>
      </w:r>
    </w:p>
    <w:p w:rsidR="00860EA0" w:rsidRDefault="00860EA0" w:rsidP="00F66D79"/>
    <w:p w:rsidR="001A61FC" w:rsidRDefault="001A61FC" w:rsidP="001A61FC">
      <w:r>
        <w:t>Table 2</w:t>
      </w:r>
      <w:r w:rsidR="00751B36">
        <w:t xml:space="preserve"> and figure 2</w:t>
      </w:r>
      <w:r>
        <w:t xml:space="preserve"> indicate that labour productivity growth was greater in Australia than New Zealand</w:t>
      </w:r>
      <w:r w:rsidR="00751B36">
        <w:t xml:space="preserve"> </w:t>
      </w:r>
      <w:r w:rsidR="002578EB">
        <w:t xml:space="preserve">(MFP16 and current </w:t>
      </w:r>
      <w:r w:rsidR="00751B36">
        <w:t>measured sector</w:t>
      </w:r>
      <w:r w:rsidR="002578EB">
        <w:t>)</w:t>
      </w:r>
      <w:r w:rsidR="00751B36">
        <w:t xml:space="preserve"> from 1996–2011</w:t>
      </w:r>
      <w:r>
        <w:t>, growing an average of 2.0 percent and 1.4 percent a year, respectively</w:t>
      </w:r>
      <w:r w:rsidR="009A3AD6">
        <w:t xml:space="preserve">. </w:t>
      </w:r>
      <w:r>
        <w:t>Australia’s average annual output growth was significantly higher, at 3.5 percent compared with New Zealand’s 2.5 percent</w:t>
      </w:r>
      <w:r w:rsidR="009A3AD6">
        <w:t xml:space="preserve">. </w:t>
      </w:r>
      <w:r>
        <w:t xml:space="preserve">However, this additional output growth was </w:t>
      </w:r>
      <w:r w:rsidR="00BC1E19">
        <w:t xml:space="preserve">partly </w:t>
      </w:r>
      <w:r>
        <w:t xml:space="preserve">accounted for by input growth. This is consistent with the </w:t>
      </w:r>
      <w:r w:rsidR="00264825">
        <w:t xml:space="preserve">findings of </w:t>
      </w:r>
      <w:r w:rsidR="00264825" w:rsidRPr="00427A9F">
        <w:rPr>
          <w:i/>
        </w:rPr>
        <w:t>Taking on the West Island: How does New Zealand’s labour productivity stack up?</w:t>
      </w:r>
      <w:r w:rsidR="00276270">
        <w:rPr>
          <w:i/>
        </w:rPr>
        <w:t xml:space="preserve"> </w:t>
      </w:r>
      <w:proofErr w:type="gramStart"/>
      <w:r w:rsidR="002476FC">
        <w:t>o</w:t>
      </w:r>
      <w:r w:rsidR="00264825" w:rsidRPr="00BC77CB">
        <w:t>ver</w:t>
      </w:r>
      <w:proofErr w:type="gramEnd"/>
      <w:r w:rsidR="00264825" w:rsidRPr="00BC77CB">
        <w:t xml:space="preserve"> </w:t>
      </w:r>
      <w:r w:rsidRPr="00BC77CB">
        <w:t>the</w:t>
      </w:r>
      <w:r>
        <w:t xml:space="preserve"> period </w:t>
      </w:r>
      <w:r w:rsidR="00264825">
        <w:t xml:space="preserve">from </w:t>
      </w:r>
      <w:r>
        <w:t>1996 to 2008</w:t>
      </w:r>
      <w:r w:rsidR="00264825">
        <w:t>,</w:t>
      </w:r>
      <w:r>
        <w:t xml:space="preserve"> both Australia’s economy-wide and (narrower) measured-sector labour productivity growth rates exceeded New Zealand</w:t>
      </w:r>
      <w:r w:rsidR="00264825">
        <w:t>’s growth rates</w:t>
      </w:r>
      <w:r>
        <w:t xml:space="preserve">.  </w:t>
      </w:r>
    </w:p>
    <w:p w:rsidR="003A693D" w:rsidRDefault="003A693D" w:rsidP="003A693D">
      <w:pPr>
        <w:pStyle w:val="StyleFigureTitle111ptBefore0ptAfter6pt"/>
      </w:pPr>
      <w:r>
        <w:lastRenderedPageBreak/>
        <w:t>Figure 2</w:t>
      </w:r>
    </w:p>
    <w:p w:rsidR="003A693D" w:rsidRDefault="003A693D" w:rsidP="003A693D">
      <w:pPr>
        <w:pStyle w:val="StyleFigureTitle111ptBefore0ptAfter6pt"/>
      </w:pPr>
      <w:r>
        <w:t>Measured sector labour productivity indexes</w:t>
      </w:r>
    </w:p>
    <w:p w:rsidR="003A693D" w:rsidRDefault="00107FAA" w:rsidP="003A693D">
      <w:r w:rsidRPr="00107FAA">
        <w:rPr>
          <w:noProof/>
          <w:lang w:eastAsia="en-NZ"/>
        </w:rPr>
        <w:drawing>
          <wp:inline distT="0" distB="0" distL="0" distR="0">
            <wp:extent cx="5676900" cy="3114675"/>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5676900" cy="3114675"/>
                    </a:xfrm>
                    <a:prstGeom prst="rect">
                      <a:avLst/>
                    </a:prstGeom>
                    <a:noFill/>
                    <a:ln w="9525">
                      <a:noFill/>
                      <a:miter lim="800000"/>
                      <a:headEnd/>
                      <a:tailEnd/>
                    </a:ln>
                  </pic:spPr>
                </pic:pic>
              </a:graphicData>
            </a:graphic>
          </wp:inline>
        </w:drawing>
      </w:r>
    </w:p>
    <w:p w:rsidR="00E942A4" w:rsidRDefault="003A693D" w:rsidP="001A61FC">
      <w:r>
        <w:t xml:space="preserve">Labour productivity growth is often a focus of analysis because </w:t>
      </w:r>
      <w:r w:rsidR="00B935F9">
        <w:t>it is associated</w:t>
      </w:r>
      <w:r>
        <w:t xml:space="preserve"> with real wages </w:t>
      </w:r>
      <w:r w:rsidRPr="00F6299D">
        <w:t>and because labour productivity has an intuitive link to ‘output per unit of time’</w:t>
      </w:r>
      <w:r w:rsidR="009A3AD6" w:rsidRPr="00F6299D">
        <w:t xml:space="preserve">. </w:t>
      </w:r>
      <w:r w:rsidR="000F1C8C" w:rsidRPr="00F6299D">
        <w:t>Growth in multifactor productivity (</w:t>
      </w:r>
      <w:r w:rsidRPr="00F6299D">
        <w:t>MFP</w:t>
      </w:r>
      <w:r w:rsidR="000F1C8C" w:rsidRPr="00F6299D">
        <w:t>)</w:t>
      </w:r>
      <w:r w:rsidRPr="00F6299D">
        <w:t xml:space="preserve"> reflects the part of output growth that cannot be attributed to the growth of labour or capital inputs</w:t>
      </w:r>
      <w:r w:rsidR="009A3AD6">
        <w:t xml:space="preserve">. </w:t>
      </w:r>
      <w:r>
        <w:t>MFP can be equated with technology change only if certain conditions are met (e.g., firms seek to maximise profits, markets are competitive, and the coverage of inputs is complete).</w:t>
      </w:r>
    </w:p>
    <w:p w:rsidR="003A693D" w:rsidRDefault="003A693D" w:rsidP="001A61FC">
      <w:r>
        <w:t>Because these conditions are typically not met, measured MFP will, in addition to technology change, include the effects of model misspecification and errors in the measurement of variables</w:t>
      </w:r>
      <w:r w:rsidR="009A3AD6">
        <w:t xml:space="preserve">. </w:t>
      </w:r>
      <w:r>
        <w:t xml:space="preserve">Notwithstanding these caveats, the partial nature of labour productivity means it is useful to </w:t>
      </w:r>
      <w:r w:rsidR="001254B0">
        <w:t xml:space="preserve">also </w:t>
      </w:r>
      <w:r>
        <w:t xml:space="preserve">consider developments in capital and </w:t>
      </w:r>
      <w:r w:rsidR="00232142">
        <w:t>multifactor productivity</w:t>
      </w:r>
      <w:r w:rsidR="009A3AD6">
        <w:t xml:space="preserve">. </w:t>
      </w:r>
      <w:r w:rsidR="006F67CC">
        <w:t xml:space="preserve">Table 3 shows growth rates in key productivity variables in both Australia and New Zealand </w:t>
      </w:r>
      <w:r w:rsidR="009A3AD6">
        <w:t>(for</w:t>
      </w:r>
      <w:r>
        <w:t xml:space="preserve"> MFP16 and </w:t>
      </w:r>
      <w:r w:rsidR="0019248C">
        <w:t xml:space="preserve">the </w:t>
      </w:r>
      <w:r>
        <w:t>current measured sector</w:t>
      </w:r>
      <w:r w:rsidR="006A7483">
        <w:t>).  T</w:t>
      </w:r>
      <w:r>
        <w:t xml:space="preserve">he OECD </w:t>
      </w:r>
      <w:r w:rsidR="00113440">
        <w:t xml:space="preserve">economy-wide </w:t>
      </w:r>
      <w:r>
        <w:t>perspective is covered in Section 5.</w:t>
      </w:r>
    </w:p>
    <w:p w:rsidR="00261A01" w:rsidRDefault="00261A01" w:rsidP="00261A01">
      <w:pPr>
        <w:pStyle w:val="TableTitle11pt"/>
      </w:pPr>
      <w:r>
        <w:t>Table 3</w:t>
      </w:r>
    </w:p>
    <w:p w:rsidR="00B32F9D" w:rsidRDefault="00B32F9D" w:rsidP="00261A01">
      <w:pPr>
        <w:pStyle w:val="TableTitle11pt"/>
      </w:pPr>
      <w:r w:rsidRPr="00107FAA">
        <w:rPr>
          <w:noProof/>
          <w:lang w:eastAsia="en-NZ"/>
        </w:rPr>
        <w:drawing>
          <wp:inline distT="0" distB="0" distL="0" distR="0" wp14:anchorId="432A907A" wp14:editId="52F575D4">
            <wp:extent cx="3562350" cy="2162175"/>
            <wp:effectExtent l="19050" t="0" r="0" b="0"/>
            <wp:docPr id="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3562350" cy="2162175"/>
                    </a:xfrm>
                    <a:prstGeom prst="rect">
                      <a:avLst/>
                    </a:prstGeom>
                    <a:noFill/>
                    <a:ln w="9525">
                      <a:noFill/>
                      <a:miter lim="800000"/>
                      <a:headEnd/>
                      <a:tailEnd/>
                    </a:ln>
                  </pic:spPr>
                </pic:pic>
              </a:graphicData>
            </a:graphic>
          </wp:inline>
        </w:drawing>
      </w:r>
    </w:p>
    <w:p w:rsidR="00913206" w:rsidRDefault="00913206" w:rsidP="001A61FC"/>
    <w:p w:rsidR="00B54643" w:rsidRDefault="00B54643" w:rsidP="001A61FC">
      <w:r w:rsidRPr="00B54643">
        <w:rPr>
          <w:b/>
        </w:rPr>
        <w:t>Source</w:t>
      </w:r>
      <w:r>
        <w:t>: Statistics NZ and Australian Bureau of Statistics</w:t>
      </w:r>
    </w:p>
    <w:p w:rsidR="00113440" w:rsidRDefault="00113440" w:rsidP="00261A01"/>
    <w:p w:rsidR="00261A01" w:rsidRDefault="00261A01" w:rsidP="00261A01">
      <w:r>
        <w:t xml:space="preserve">Based on relatively similar industry coverage, </w:t>
      </w:r>
      <w:r w:rsidR="00C73BB0">
        <w:t>p</w:t>
      </w:r>
      <w:r w:rsidR="00576F0F">
        <w:t xml:space="preserve">roductivity in </w:t>
      </w:r>
      <w:r>
        <w:t>Australia’s</w:t>
      </w:r>
      <w:r w:rsidR="00122D64">
        <w:t xml:space="preserve"> MFP16</w:t>
      </w:r>
      <w:r>
        <w:t xml:space="preserve"> and New Zealand’s</w:t>
      </w:r>
      <w:r w:rsidR="00122D64">
        <w:t xml:space="preserve"> measured sector</w:t>
      </w:r>
      <w:r>
        <w:t xml:space="preserve"> differed over the 1996–2011 period. New Zealand was slightly ahead in terms of MFP, with average growth of 0.6 percent, compared with 0.4 percent for Australia. </w:t>
      </w:r>
      <w:r w:rsidR="00576F0F">
        <w:t xml:space="preserve">Capital </w:t>
      </w:r>
      <w:r w:rsidR="00576F0F" w:rsidRPr="00C73BB0">
        <w:t>productivity also grew fas</w:t>
      </w:r>
      <w:r w:rsidR="00C73BB0" w:rsidRPr="00C73BB0">
        <w:t>ter</w:t>
      </w:r>
      <w:r w:rsidR="00576F0F" w:rsidRPr="00C73BB0">
        <w:t xml:space="preserve"> in </w:t>
      </w:r>
      <w:r w:rsidRPr="00C73BB0">
        <w:t>New Zealand.</w:t>
      </w:r>
      <w:r>
        <w:t xml:space="preserve"> </w:t>
      </w:r>
    </w:p>
    <w:p w:rsidR="004220B2" w:rsidRDefault="002669F8" w:rsidP="00261A01">
      <w:r>
        <w:t xml:space="preserve">In contrast to the new wider measures of productivity, </w:t>
      </w:r>
      <w:r w:rsidR="00261A01">
        <w:t>Parham (2012</w:t>
      </w:r>
      <w:r w:rsidR="0047344A">
        <w:t>, p1, footnote 1</w:t>
      </w:r>
      <w:r w:rsidR="00261A01">
        <w:t xml:space="preserve">) has focused his recent analysis of Australian productivity trends on </w:t>
      </w:r>
      <w:r w:rsidR="00E15544">
        <w:t xml:space="preserve">a </w:t>
      </w:r>
      <w:r w:rsidR="00261A01">
        <w:t>12-industry market sector</w:t>
      </w:r>
      <w:r w:rsidR="00C73BB0">
        <w:t xml:space="preserve"> (or MFP12</w:t>
      </w:r>
      <w:r w:rsidR="00C73BB0">
        <w:rPr>
          <w:rStyle w:val="FootnoteReference"/>
        </w:rPr>
        <w:footnoteReference w:id="3"/>
      </w:r>
      <w:r w:rsidR="00C73BB0">
        <w:t>)</w:t>
      </w:r>
      <w:r w:rsidR="00261A01">
        <w:t xml:space="preserve"> “...because of the longer time series available and because of some concerns, shared by the ABS, about the quality of estimates for the additional industries in the 16-industry series”</w:t>
      </w:r>
      <w:r w:rsidR="00261A01" w:rsidRPr="0047344A">
        <w:t>.</w:t>
      </w:r>
      <w:r w:rsidR="00261A01">
        <w:t xml:space="preserve">  </w:t>
      </w:r>
    </w:p>
    <w:p w:rsidR="0019248C" w:rsidRDefault="0019248C" w:rsidP="0019248C">
      <w:r>
        <w:t xml:space="preserve">There is significant debate about Australia’s </w:t>
      </w:r>
      <w:r w:rsidR="001F63C2">
        <w:t xml:space="preserve">recent </w:t>
      </w:r>
      <w:r>
        <w:t>productivity performance, and in particular the role of the terms of trade shock</w:t>
      </w:r>
      <w:r w:rsidR="009A3AD6">
        <w:t xml:space="preserve">. </w:t>
      </w:r>
      <w:r>
        <w:t>For example</w:t>
      </w:r>
      <w:r w:rsidR="007A5121">
        <w:t xml:space="preserve">, Parham notes that the investment boom in mining has </w:t>
      </w:r>
      <w:r w:rsidR="00BE1DF3">
        <w:t xml:space="preserve">led </w:t>
      </w:r>
      <w:r w:rsidR="007A5121">
        <w:t>to rapid growth of market sector capital (</w:t>
      </w:r>
      <w:r w:rsidR="00992C99">
        <w:t xml:space="preserve">see </w:t>
      </w:r>
      <w:r w:rsidR="007A5121">
        <w:t>table 3)</w:t>
      </w:r>
      <w:r w:rsidR="009A3AD6">
        <w:t xml:space="preserve">. </w:t>
      </w:r>
      <w:r w:rsidR="007A5121">
        <w:t xml:space="preserve">Parham </w:t>
      </w:r>
      <w:r w:rsidR="0047344A">
        <w:t xml:space="preserve">(p5) </w:t>
      </w:r>
      <w:r w:rsidR="007A5121">
        <w:t xml:space="preserve">concludes that Australian productivity trends over the 2000s appear to be the result of strong input growth driven by marked changes in prices and profits. </w:t>
      </w:r>
    </w:p>
    <w:p w:rsidR="002669F8" w:rsidRDefault="0019248C" w:rsidP="00261A01">
      <w:r>
        <w:t xml:space="preserve">Parham’s comments </w:t>
      </w:r>
      <w:r w:rsidR="007A5121">
        <w:t xml:space="preserve">about the robustness of the wider productivity measures and their shorter time coverage </w:t>
      </w:r>
      <w:r>
        <w:t xml:space="preserve">suggest we should continue to </w:t>
      </w:r>
      <w:r w:rsidR="007A5121">
        <w:t xml:space="preserve">also examine </w:t>
      </w:r>
      <w:r w:rsidR="00164DCB">
        <w:t>trans</w:t>
      </w:r>
      <w:r w:rsidR="007A5121">
        <w:t xml:space="preserve">-Tasman </w:t>
      </w:r>
      <w:r>
        <w:t xml:space="preserve">productivity performance </w:t>
      </w:r>
      <w:r w:rsidR="009A3AD6">
        <w:t>based on</w:t>
      </w:r>
      <w:r>
        <w:t xml:space="preserve"> </w:t>
      </w:r>
      <w:r w:rsidR="002B6A45">
        <w:t>the narrower definition of the measured sector</w:t>
      </w:r>
      <w:r w:rsidR="00B23DDA">
        <w:t xml:space="preserve">. Growth rates based on Australia’s </w:t>
      </w:r>
      <w:r>
        <w:t xml:space="preserve">MFP12 and </w:t>
      </w:r>
      <w:r w:rsidR="00B23DDA">
        <w:t>New Zealand’s</w:t>
      </w:r>
      <w:r>
        <w:t xml:space="preserve"> former measured sector </w:t>
      </w:r>
      <w:r w:rsidR="00B23DDA">
        <w:t xml:space="preserve">are </w:t>
      </w:r>
      <w:r>
        <w:t>shown in table 4 and figure 3</w:t>
      </w:r>
      <w:r w:rsidR="009A3AD6">
        <w:t xml:space="preserve">. </w:t>
      </w:r>
    </w:p>
    <w:p w:rsidR="004220B2" w:rsidRDefault="00261A01" w:rsidP="00261A01">
      <w:pPr>
        <w:pStyle w:val="TableTitle11pt"/>
      </w:pPr>
      <w:r>
        <w:t>Table 4</w:t>
      </w:r>
    </w:p>
    <w:p w:rsidR="00122D64" w:rsidRDefault="00B32F9D" w:rsidP="001A61FC">
      <w:r w:rsidRPr="00107FAA">
        <w:rPr>
          <w:noProof/>
          <w:lang w:eastAsia="en-NZ"/>
        </w:rPr>
        <w:drawing>
          <wp:inline distT="0" distB="0" distL="0" distR="0" wp14:anchorId="70548DFD" wp14:editId="76D811F3">
            <wp:extent cx="4171950" cy="2162175"/>
            <wp:effectExtent l="1905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4171950" cy="2162175"/>
                    </a:xfrm>
                    <a:prstGeom prst="rect">
                      <a:avLst/>
                    </a:prstGeom>
                    <a:noFill/>
                    <a:ln w="9525">
                      <a:noFill/>
                      <a:miter lim="800000"/>
                      <a:headEnd/>
                      <a:tailEnd/>
                    </a:ln>
                  </pic:spPr>
                </pic:pic>
              </a:graphicData>
            </a:graphic>
          </wp:inline>
        </w:drawing>
      </w:r>
      <w:bookmarkStart w:id="0" w:name="_GoBack"/>
      <w:bookmarkEnd w:id="0"/>
    </w:p>
    <w:p w:rsidR="00B54643" w:rsidRDefault="00B54643" w:rsidP="00B54643">
      <w:r w:rsidRPr="00B54643">
        <w:rPr>
          <w:b/>
        </w:rPr>
        <w:t>Source</w:t>
      </w:r>
      <w:r>
        <w:t>: Statistics NZ and Australian Bureau of Statistics</w:t>
      </w:r>
    </w:p>
    <w:p w:rsidR="00B54643" w:rsidRDefault="00B54643" w:rsidP="001A61FC"/>
    <w:p w:rsidR="00122D64" w:rsidRDefault="00122D64" w:rsidP="00EF2551">
      <w:pPr>
        <w:pStyle w:val="StyleFigureTitle111ptBefore0ptAfter6pt"/>
      </w:pPr>
      <w:r>
        <w:lastRenderedPageBreak/>
        <w:t>Figure 3</w:t>
      </w:r>
    </w:p>
    <w:p w:rsidR="00122D64" w:rsidRDefault="00122D64" w:rsidP="00EF2551">
      <w:pPr>
        <w:pStyle w:val="StyleFigureTitle111ptBefore0ptAfter6pt"/>
      </w:pPr>
      <w:r>
        <w:t>Former measured sector labour productivity indexes</w:t>
      </w:r>
    </w:p>
    <w:p w:rsidR="00122D64" w:rsidRDefault="00107FAA" w:rsidP="001A61FC">
      <w:r w:rsidRPr="00107FAA">
        <w:rPr>
          <w:noProof/>
          <w:lang w:eastAsia="en-NZ"/>
        </w:rPr>
        <w:drawing>
          <wp:inline distT="0" distB="0" distL="0" distR="0">
            <wp:extent cx="5676900" cy="3133725"/>
            <wp:effectExtent l="19050" t="0" r="0" b="0"/>
            <wp:docPr id="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5676900" cy="3133725"/>
                    </a:xfrm>
                    <a:prstGeom prst="rect">
                      <a:avLst/>
                    </a:prstGeom>
                    <a:noFill/>
                    <a:ln w="9525">
                      <a:noFill/>
                      <a:miter lim="800000"/>
                      <a:headEnd/>
                      <a:tailEnd/>
                    </a:ln>
                  </pic:spPr>
                </pic:pic>
              </a:graphicData>
            </a:graphic>
          </wp:inline>
        </w:drawing>
      </w:r>
    </w:p>
    <w:p w:rsidR="002955BE" w:rsidRDefault="002955BE" w:rsidP="00261A01">
      <w:r w:rsidRPr="002955BE">
        <w:t xml:space="preserve">The </w:t>
      </w:r>
      <w:r w:rsidR="00466EF6">
        <w:t xml:space="preserve">coverage versus time period </w:t>
      </w:r>
      <w:r w:rsidRPr="002955BE">
        <w:t>trade-off</w:t>
      </w:r>
      <w:r w:rsidR="00466EF6">
        <w:t xml:space="preserve"> </w:t>
      </w:r>
      <w:r w:rsidRPr="002955BE">
        <w:t xml:space="preserve">in </w:t>
      </w:r>
      <w:r w:rsidR="001D4AE7">
        <w:t>t</w:t>
      </w:r>
      <w:r w:rsidRPr="002955BE">
        <w:t>able 3 and 4</w:t>
      </w:r>
      <w:r w:rsidR="00751B36">
        <w:t xml:space="preserve"> (and figures 2 and 3)</w:t>
      </w:r>
      <w:r w:rsidRPr="002955BE">
        <w:t xml:space="preserve"> reinforce</w:t>
      </w:r>
      <w:r w:rsidR="001A5FEB">
        <w:t>s</w:t>
      </w:r>
      <w:r w:rsidRPr="002955BE">
        <w:t xml:space="preserve"> the point that </w:t>
      </w:r>
      <w:r w:rsidR="001A5FEB">
        <w:t xml:space="preserve">there is </w:t>
      </w:r>
      <w:r w:rsidRPr="002955BE">
        <w:t xml:space="preserve">no </w:t>
      </w:r>
      <w:r w:rsidR="002B6A45" w:rsidRPr="002955BE">
        <w:t>single</w:t>
      </w:r>
      <w:r w:rsidR="002B6A45">
        <w:t xml:space="preserve"> </w:t>
      </w:r>
      <w:r w:rsidR="002B6A45" w:rsidRPr="002955BE">
        <w:t>best</w:t>
      </w:r>
      <w:r w:rsidR="002B6A45">
        <w:t xml:space="preserve"> </w:t>
      </w:r>
      <w:r w:rsidR="001D4AE7">
        <w:t>way to measure</w:t>
      </w:r>
      <w:r w:rsidRPr="002955BE">
        <w:t xml:space="preserve"> </w:t>
      </w:r>
      <w:r w:rsidR="001254B0">
        <w:t xml:space="preserve">productivity </w:t>
      </w:r>
      <w:r w:rsidRPr="002955BE">
        <w:t>over all time periods</w:t>
      </w:r>
      <w:r w:rsidR="009A3AD6" w:rsidRPr="002955BE">
        <w:t xml:space="preserve">. </w:t>
      </w:r>
      <w:r w:rsidRPr="002955BE">
        <w:t>Nonetheless, the broad message</w:t>
      </w:r>
      <w:r w:rsidR="00CF69A7">
        <w:t xml:space="preserve"> </w:t>
      </w:r>
      <w:r w:rsidRPr="002955BE">
        <w:t xml:space="preserve">from the alternatives, as per the first West Island paper, is that New Zealand is not closing the productivity gap in any substantive way. </w:t>
      </w:r>
    </w:p>
    <w:p w:rsidR="00100055" w:rsidRDefault="00261A01" w:rsidP="00261A01">
      <w:r>
        <w:t>The following sub-sections revisit the remaining measurement issues considered in 2010</w:t>
      </w:r>
      <w:r w:rsidR="00100055">
        <w:t>.</w:t>
      </w:r>
    </w:p>
    <w:p w:rsidR="00100055" w:rsidRDefault="00100055" w:rsidP="00BC77CB">
      <w:pPr>
        <w:pStyle w:val="ListParagraph"/>
        <w:numPr>
          <w:ilvl w:val="0"/>
          <w:numId w:val="7"/>
        </w:numPr>
      </w:pPr>
      <w:r>
        <w:t>A</w:t>
      </w:r>
      <w:r w:rsidR="00261A01">
        <w:t>lternative labour input measures</w:t>
      </w:r>
    </w:p>
    <w:p w:rsidR="00100055" w:rsidRDefault="00100055" w:rsidP="00BC77CB">
      <w:pPr>
        <w:pStyle w:val="ListParagraph"/>
        <w:numPr>
          <w:ilvl w:val="0"/>
          <w:numId w:val="7"/>
        </w:numPr>
      </w:pPr>
      <w:r>
        <w:t>R</w:t>
      </w:r>
      <w:r w:rsidR="00261A01">
        <w:t>esidential dwellings</w:t>
      </w:r>
    </w:p>
    <w:p w:rsidR="00100055" w:rsidRDefault="00727B53" w:rsidP="00BC77CB">
      <w:pPr>
        <w:pStyle w:val="ListParagraph"/>
        <w:numPr>
          <w:ilvl w:val="0"/>
          <w:numId w:val="7"/>
        </w:numPr>
      </w:pPr>
      <w:r>
        <w:t>Financial intermediation services indirectly measured (</w:t>
      </w:r>
      <w:r w:rsidR="00261A01">
        <w:t>FISIM</w:t>
      </w:r>
      <w:r>
        <w:t>)</w:t>
      </w:r>
      <w:r w:rsidR="00261A01">
        <w:t xml:space="preserve">.  </w:t>
      </w:r>
    </w:p>
    <w:p w:rsidR="00100055" w:rsidRDefault="00100055" w:rsidP="00BC77CB">
      <w:pPr>
        <w:pStyle w:val="ListParagraph"/>
      </w:pPr>
    </w:p>
    <w:p w:rsidR="004220B2" w:rsidRDefault="00591525">
      <w:r>
        <w:t xml:space="preserve">An initial analysis of </w:t>
      </w:r>
      <w:r w:rsidR="00261A01">
        <w:t>capital measurement</w:t>
      </w:r>
      <w:r w:rsidR="00122D64">
        <w:t xml:space="preserve"> </w:t>
      </w:r>
      <w:r w:rsidR="00FC1B59">
        <w:t xml:space="preserve">and multifactor productivity </w:t>
      </w:r>
      <w:r>
        <w:t>is</w:t>
      </w:r>
      <w:r w:rsidR="00261A01">
        <w:t xml:space="preserve"> covered in </w:t>
      </w:r>
      <w:r w:rsidR="002F4679">
        <w:t xml:space="preserve">section </w:t>
      </w:r>
      <w:r w:rsidR="00261A01">
        <w:t>5.</w:t>
      </w:r>
    </w:p>
    <w:p w:rsidR="00261A01" w:rsidRDefault="00261A01" w:rsidP="00261A01">
      <w:pPr>
        <w:pStyle w:val="Heading4"/>
      </w:pPr>
      <w:r>
        <w:t>4.1 Labour input</w:t>
      </w:r>
    </w:p>
    <w:p w:rsidR="00261A01" w:rsidRDefault="00276270" w:rsidP="00261A01">
      <w:r w:rsidRPr="00427A9F">
        <w:rPr>
          <w:i/>
        </w:rPr>
        <w:t>Taking on the West Island: How does New Zealand’s labour productivity stack up?</w:t>
      </w:r>
      <w:r>
        <w:rPr>
          <w:i/>
        </w:rPr>
        <w:t xml:space="preserve"> </w:t>
      </w:r>
      <w:proofErr w:type="gramStart"/>
      <w:r>
        <w:t>relied</w:t>
      </w:r>
      <w:proofErr w:type="gramEnd"/>
      <w:r>
        <w:t xml:space="preserve"> on hours worked labour input from labour force statistics to</w:t>
      </w:r>
      <w:r>
        <w:rPr>
          <w:i/>
        </w:rPr>
        <w:t xml:space="preserve"> </w:t>
      </w:r>
      <w:r w:rsidR="00261A01">
        <w:t xml:space="preserve">facilitate the economy-wide analysis with respect to the OECD data and to analyse labour productivity in those industries outside the then measured sector.  For New Zealand this is the Household Labour Force Survey (HLFS) and Australia it was their Labour Force Survey (LFS).  </w:t>
      </w:r>
    </w:p>
    <w:p w:rsidR="00261A01" w:rsidRPr="00850CEB" w:rsidRDefault="00C26658" w:rsidP="00850CEB">
      <w:r w:rsidRPr="00427A9F">
        <w:rPr>
          <w:i/>
        </w:rPr>
        <w:t>Taking on the West Island: How does New Zealand’s labour productivity stack up?</w:t>
      </w:r>
      <w:r>
        <w:rPr>
          <w:i/>
        </w:rPr>
        <w:t xml:space="preserve"> </w:t>
      </w:r>
      <w:proofErr w:type="gramStart"/>
      <w:r w:rsidR="0044390F">
        <w:t>found</w:t>
      </w:r>
      <w:proofErr w:type="gramEnd"/>
      <w:r w:rsidR="0044390F">
        <w:t xml:space="preserve"> that i</w:t>
      </w:r>
      <w:r w:rsidR="00261A01" w:rsidRPr="00850CEB">
        <w:t>n New Zealand</w:t>
      </w:r>
      <w:r w:rsidR="00B375BE">
        <w:t>,</w:t>
      </w:r>
      <w:r w:rsidR="00B375BE" w:rsidRPr="00B375BE">
        <w:t xml:space="preserve"> </w:t>
      </w:r>
      <w:r w:rsidR="00B375BE" w:rsidRPr="00850CEB">
        <w:t>between 1988 and 2008</w:t>
      </w:r>
      <w:r w:rsidR="00261A01" w:rsidRPr="00850CEB">
        <w:t xml:space="preserve">, labour input grew by an average of 0.3 percent per </w:t>
      </w:r>
      <w:r w:rsidR="00053AB2">
        <w:t>year</w:t>
      </w:r>
      <w:r w:rsidR="00053AB2" w:rsidRPr="00850CEB">
        <w:t xml:space="preserve"> </w:t>
      </w:r>
      <w:r w:rsidR="00261A01" w:rsidRPr="00850CEB">
        <w:t xml:space="preserve">in the </w:t>
      </w:r>
      <w:r w:rsidR="001254B0">
        <w:t>former</w:t>
      </w:r>
      <w:r w:rsidR="00261A01" w:rsidRPr="00850CEB">
        <w:t xml:space="preserve"> measured sector</w:t>
      </w:r>
      <w:r w:rsidR="00B555FC">
        <w:t xml:space="preserve"> (using the productivity labour volume series)</w:t>
      </w:r>
      <w:r w:rsidR="00261A01" w:rsidRPr="00850CEB">
        <w:t xml:space="preserve"> and by an average of 0.6 percent per </w:t>
      </w:r>
      <w:r w:rsidR="00392DDC">
        <w:t>year</w:t>
      </w:r>
      <w:r w:rsidR="00261A01" w:rsidRPr="00850CEB">
        <w:t xml:space="preserve"> </w:t>
      </w:r>
      <w:r w:rsidR="00B375BE">
        <w:t>using</w:t>
      </w:r>
      <w:r w:rsidR="00261A01" w:rsidRPr="00850CEB">
        <w:t xml:space="preserve"> HLFS data for the same group of industries.</w:t>
      </w:r>
      <w:r w:rsidR="00B555FC" w:rsidRPr="00B555FC">
        <w:t xml:space="preserve"> </w:t>
      </w:r>
      <w:r w:rsidR="00B555FC" w:rsidRPr="00850CEB">
        <w:t xml:space="preserve">The </w:t>
      </w:r>
      <w:r w:rsidR="00B555FC">
        <w:t>gap</w:t>
      </w:r>
      <w:r w:rsidR="00B555FC" w:rsidRPr="00850CEB">
        <w:t xml:space="preserve"> between the two labour input measures </w:t>
      </w:r>
      <w:r w:rsidR="00B555FC">
        <w:t>was</w:t>
      </w:r>
      <w:r w:rsidR="00B555FC" w:rsidRPr="00850CEB">
        <w:t xml:space="preserve"> largest in the period from 1992 to 1995 (March years)</w:t>
      </w:r>
      <w:r w:rsidR="00B555FC">
        <w:t>. Growth rates based on the</w:t>
      </w:r>
      <w:r w:rsidR="00B555FC" w:rsidRPr="00850CEB">
        <w:t xml:space="preserve"> HLFS </w:t>
      </w:r>
      <w:r w:rsidR="00B555FC">
        <w:t xml:space="preserve">increased </w:t>
      </w:r>
      <w:r w:rsidR="00B555FC" w:rsidRPr="00850CEB">
        <w:t xml:space="preserve">strongly </w:t>
      </w:r>
      <w:r w:rsidR="00B555FC">
        <w:t>after</w:t>
      </w:r>
      <w:r w:rsidR="00B555FC" w:rsidRPr="00850CEB">
        <w:t xml:space="preserve"> the early-1990s recession</w:t>
      </w:r>
      <w:r w:rsidR="00B555FC" w:rsidRPr="00B555FC">
        <w:t xml:space="preserve">. </w:t>
      </w:r>
      <w:r w:rsidR="00261A01" w:rsidRPr="00850CEB">
        <w:t xml:space="preserve"> </w:t>
      </w:r>
      <w:r w:rsidR="00B555FC" w:rsidRPr="00B555FC">
        <w:t>Using the HLFS labour input measure for New Zealand increased comparability with Australia</w:t>
      </w:r>
      <w:r w:rsidR="00B375BE">
        <w:t xml:space="preserve"> conceptually</w:t>
      </w:r>
      <w:r w:rsidR="00B555FC" w:rsidRPr="00B555FC">
        <w:t xml:space="preserve">, </w:t>
      </w:r>
      <w:r w:rsidR="00B375BE">
        <w:t>and</w:t>
      </w:r>
      <w:r w:rsidR="00B555FC" w:rsidRPr="00B555FC">
        <w:t xml:space="preserve"> lowered New Zealand’s former measured sector labour productivity growth fr</w:t>
      </w:r>
      <w:r w:rsidR="00B555FC">
        <w:t>om 2.4 percent per annum to 2.2</w:t>
      </w:r>
      <w:r w:rsidR="00B555FC" w:rsidRPr="00B555FC">
        <w:t>.</w:t>
      </w:r>
      <w:r w:rsidR="00B555FC">
        <w:t xml:space="preserve">  </w:t>
      </w:r>
    </w:p>
    <w:p w:rsidR="00D73E2A" w:rsidRDefault="00261A01" w:rsidP="00EB1311">
      <w:pPr>
        <w:rPr>
          <w:rFonts w:eastAsia="Times New Roman"/>
          <w:b/>
          <w:bCs/>
          <w:szCs w:val="20"/>
          <w:lang w:val="en-GB"/>
        </w:rPr>
      </w:pPr>
      <w:r>
        <w:t xml:space="preserve">Figure </w:t>
      </w:r>
      <w:r w:rsidR="003A693D">
        <w:t>4</w:t>
      </w:r>
      <w:r>
        <w:t xml:space="preserve"> shows the index of the</w:t>
      </w:r>
      <w:r w:rsidR="0080651C">
        <w:t xml:space="preserve"> New Zealand</w:t>
      </w:r>
      <w:r>
        <w:t xml:space="preserve"> </w:t>
      </w:r>
      <w:r w:rsidR="00B375BE">
        <w:t xml:space="preserve">current </w:t>
      </w:r>
      <w:r>
        <w:t>measured sector</w:t>
      </w:r>
      <w:r w:rsidR="00B375BE">
        <w:t xml:space="preserve"> labour volume series</w:t>
      </w:r>
      <w:r>
        <w:t xml:space="preserve"> </w:t>
      </w:r>
      <w:r w:rsidR="00B375BE">
        <w:t>(</w:t>
      </w:r>
      <w:r>
        <w:t>LVS</w:t>
      </w:r>
      <w:r w:rsidR="00B375BE">
        <w:t>)</w:t>
      </w:r>
      <w:r>
        <w:t xml:space="preserve"> relative to that of the HLFS</w:t>
      </w:r>
      <w:r w:rsidR="009A3AD6">
        <w:t xml:space="preserve">. </w:t>
      </w:r>
      <w:r w:rsidR="00295358">
        <w:t>The two series converge in 2011, and the gap t</w:t>
      </w:r>
      <w:r>
        <w:t>hat was evident up to 2008 is no longer as apparent</w:t>
      </w:r>
      <w:r w:rsidR="009A3AD6">
        <w:t xml:space="preserve">. </w:t>
      </w:r>
      <w:r w:rsidR="0014759B">
        <w:t xml:space="preserve">Over the period </w:t>
      </w:r>
      <w:r w:rsidR="006B1528">
        <w:t xml:space="preserve">from </w:t>
      </w:r>
      <w:r w:rsidR="0014759B">
        <w:t xml:space="preserve">1996 to 2011, the annual change in hours paid at the aggregate measured sector level from the LVS was 1.06 percent, </w:t>
      </w:r>
      <w:r w:rsidR="00FD7C33">
        <w:t xml:space="preserve">compared to the </w:t>
      </w:r>
      <w:r w:rsidR="0014759B">
        <w:t xml:space="preserve">annual change in actual hours worked from the HLFS </w:t>
      </w:r>
      <w:r w:rsidR="00FD7C33">
        <w:t xml:space="preserve">of </w:t>
      </w:r>
      <w:r w:rsidR="0014759B">
        <w:t xml:space="preserve">1.00 percent. </w:t>
      </w:r>
      <w:r w:rsidR="0014759B">
        <w:lastRenderedPageBreak/>
        <w:t>Therefore, the annual growth in hours paid is a good proxy for the growth in actual hours worked at an aggregate level.</w:t>
      </w:r>
    </w:p>
    <w:p w:rsidR="00261A01" w:rsidRPr="00DA11F1" w:rsidRDefault="00261A01" w:rsidP="00261A01">
      <w:pPr>
        <w:pStyle w:val="StyleFigureTitle111ptBefore0ptAfter6pt"/>
      </w:pPr>
      <w:r>
        <w:t xml:space="preserve">Figure </w:t>
      </w:r>
      <w:r w:rsidR="00EF2551">
        <w:t>4</w:t>
      </w:r>
      <w:r>
        <w:br/>
        <w:t xml:space="preserve">Measured sector </w:t>
      </w:r>
      <w:r w:rsidR="00727B53">
        <w:t>household labour force survey</w:t>
      </w:r>
      <w:r>
        <w:t xml:space="preserve"> </w:t>
      </w:r>
      <w:r w:rsidR="009A3AD6">
        <w:t>vs.</w:t>
      </w:r>
      <w:r>
        <w:t xml:space="preserve"> </w:t>
      </w:r>
      <w:r w:rsidR="00727B53">
        <w:t>labour volume series</w:t>
      </w:r>
      <w:r>
        <w:t xml:space="preserve"> index</w:t>
      </w:r>
    </w:p>
    <w:p w:rsidR="00261A01" w:rsidRDefault="00261A01" w:rsidP="001A61FC"/>
    <w:p w:rsidR="004220B2" w:rsidRDefault="00261A01" w:rsidP="001A61FC">
      <w:r w:rsidRPr="00261A01">
        <w:rPr>
          <w:noProof/>
          <w:lang w:eastAsia="en-NZ"/>
        </w:rPr>
        <w:drawing>
          <wp:inline distT="0" distB="0" distL="0" distR="0">
            <wp:extent cx="5731510" cy="3081299"/>
            <wp:effectExtent l="0" t="0" r="21590" b="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4390F" w:rsidRDefault="0044390F" w:rsidP="0044390F">
      <w:r>
        <w:t>In March 2012</w:t>
      </w:r>
      <w:r w:rsidR="006C3047">
        <w:t>,</w:t>
      </w:r>
      <w:r>
        <w:t xml:space="preserve"> Statistics </w:t>
      </w:r>
      <w:r w:rsidR="006C3047">
        <w:t>NZ</w:t>
      </w:r>
      <w:r>
        <w:t xml:space="preserve"> published estimates of the level of hours paid in </w:t>
      </w:r>
      <w:r w:rsidR="006C3047">
        <w:t>the industries</w:t>
      </w:r>
      <w:r>
        <w:t xml:space="preserve"> that make up the Statistics NZ measured sector</w:t>
      </w:r>
      <w:r w:rsidR="009A3AD6">
        <w:t xml:space="preserve">. </w:t>
      </w:r>
      <w:r>
        <w:t xml:space="preserve">The release also discussed the rationale for </w:t>
      </w:r>
      <w:r w:rsidR="00F258C1">
        <w:t xml:space="preserve">using </w:t>
      </w:r>
      <w:r>
        <w:t xml:space="preserve">the LVS </w:t>
      </w:r>
      <w:r w:rsidR="00F258C1">
        <w:t>to calculate</w:t>
      </w:r>
      <w:r>
        <w:t xml:space="preserve"> official productivity statistics</w:t>
      </w:r>
      <w:r w:rsidR="009A3AD6">
        <w:t xml:space="preserve">. </w:t>
      </w:r>
      <w:r>
        <w:t>This work goes some way towards validating the LVS as a measure of labour volume for both growth and levels comparisons with the ABS’s survey based labour input series.</w:t>
      </w:r>
    </w:p>
    <w:p w:rsidR="00B3137B" w:rsidRDefault="00B3137B" w:rsidP="0044390F">
      <w:r>
        <w:t>Conceptually, it is preferable to use ‘a</w:t>
      </w:r>
      <w:r w:rsidR="0044390F">
        <w:t>ctual hours worked</w:t>
      </w:r>
      <w:r>
        <w:t>’</w:t>
      </w:r>
      <w:r w:rsidR="00B375BE">
        <w:t xml:space="preserve"> to measure productivity</w:t>
      </w:r>
      <w:r w:rsidR="0044390F">
        <w:t xml:space="preserve">, as derived from a household-based survey, </w:t>
      </w:r>
      <w:r>
        <w:t>instead of the</w:t>
      </w:r>
      <w:r w:rsidR="0044390F">
        <w:t xml:space="preserve"> </w:t>
      </w:r>
      <w:r>
        <w:t>‘</w:t>
      </w:r>
      <w:r w:rsidR="0044390F">
        <w:t>hours paid</w:t>
      </w:r>
      <w:r>
        <w:t>’ data</w:t>
      </w:r>
      <w:r w:rsidR="0044390F">
        <w:t xml:space="preserve"> used in New Zealand</w:t>
      </w:r>
      <w:r>
        <w:t>’s</w:t>
      </w:r>
      <w:r w:rsidR="0044390F">
        <w:t xml:space="preserve"> </w:t>
      </w:r>
      <w:r>
        <w:t xml:space="preserve">official </w:t>
      </w:r>
      <w:r w:rsidR="0044390F">
        <w:t xml:space="preserve">productivity analysis. However, </w:t>
      </w:r>
      <w:r>
        <w:t xml:space="preserve">to produce high-quality estimates of productivity, it is important that labour input data is </w:t>
      </w:r>
      <w:r w:rsidR="0044390F">
        <w:t xml:space="preserve">robust </w:t>
      </w:r>
      <w:r>
        <w:t xml:space="preserve">and aligns </w:t>
      </w:r>
      <w:r w:rsidR="0044390F">
        <w:t xml:space="preserve">with output and capital measures. At a total-economy </w:t>
      </w:r>
      <w:r w:rsidR="009A3AD6">
        <w:t>level,</w:t>
      </w:r>
      <w:r w:rsidR="0044390F">
        <w:t xml:space="preserve"> this is not an issue. Actual hours worked</w:t>
      </w:r>
      <w:r>
        <w:t xml:space="preserve"> provide the best measure of labour input when calculating </w:t>
      </w:r>
      <w:r w:rsidR="0044390F">
        <w:t xml:space="preserve">measured-sector (or economy-wide level) </w:t>
      </w:r>
      <w:r>
        <w:t xml:space="preserve">estimates of productivity </w:t>
      </w:r>
      <w:r w:rsidR="0044390F">
        <w:t xml:space="preserve">without any industry splits. </w:t>
      </w:r>
    </w:p>
    <w:p w:rsidR="0044390F" w:rsidRDefault="00B3137B" w:rsidP="001D032B">
      <w:pPr>
        <w:pStyle w:val="ListBullet"/>
      </w:pPr>
      <w:r>
        <w:t>However, a</w:t>
      </w:r>
      <w:r w:rsidR="0044390F">
        <w:t>t the industry level, the hours-paid measure is more robust than the hours-worked measure. Statistics NZ has more confidence in aligning industry labour inputs with corresponding industry outputs using hours-paid data.</w:t>
      </w:r>
      <w:r w:rsidR="00B375BE">
        <w:t xml:space="preserve"> </w:t>
      </w:r>
      <w:r w:rsidR="0044390F">
        <w:t xml:space="preserve">Given that the methodology used to calculate </w:t>
      </w:r>
      <w:r w:rsidR="005A00AD">
        <w:t xml:space="preserve">Statistics NZ’s </w:t>
      </w:r>
      <w:r w:rsidR="0044390F">
        <w:t>LVS is based on the aggregation of industry-level data, it is desirable to have good alignment of industry input and outputs</w:t>
      </w:r>
      <w:r w:rsidR="0044390F">
        <w:rPr>
          <w:rStyle w:val="FootnoteReference"/>
        </w:rPr>
        <w:footnoteReference w:id="4"/>
      </w:r>
      <w:r w:rsidR="0044390F">
        <w:t xml:space="preserve">. </w:t>
      </w:r>
    </w:p>
    <w:p w:rsidR="00986712" w:rsidRDefault="001F63C2" w:rsidP="00261A01">
      <w:r>
        <w:t>Figure 5</w:t>
      </w:r>
      <w:r w:rsidR="00261A01">
        <w:t xml:space="preserve"> compares </w:t>
      </w:r>
      <w:r w:rsidR="0080651C">
        <w:t xml:space="preserve">the levels of </w:t>
      </w:r>
      <w:r w:rsidR="00261A01">
        <w:t>actual and usual hours worked from the HLFS</w:t>
      </w:r>
      <w:r w:rsidR="0080651C">
        <w:t xml:space="preserve"> </w:t>
      </w:r>
      <w:r w:rsidR="00261A01">
        <w:t>with</w:t>
      </w:r>
      <w:r w:rsidR="0080651C">
        <w:t xml:space="preserve"> the</w:t>
      </w:r>
      <w:r w:rsidR="00261A01">
        <w:t xml:space="preserve"> labour hours-paid series used by Statistics NZ for productivity analysis. These series are compared using the same industry coverage (the productivity measured sector). While all three series grow at roughly the same rate </w:t>
      </w:r>
      <w:r w:rsidR="00986712">
        <w:t>from 2000 to 2010</w:t>
      </w:r>
      <w:r w:rsidR="00261A01">
        <w:t>, there are level differences between the series</w:t>
      </w:r>
      <w:r w:rsidR="00986712">
        <w:t xml:space="preserve">. </w:t>
      </w:r>
    </w:p>
    <w:p w:rsidR="00084A67" w:rsidRDefault="00986712" w:rsidP="00261A01">
      <w:r>
        <w:t xml:space="preserve">These differences </w:t>
      </w:r>
      <w:r w:rsidR="00261A01">
        <w:t xml:space="preserve">reflect the different nature of each measure. The series with the highest level is </w:t>
      </w:r>
      <w:r>
        <w:t xml:space="preserve">HLFS </w:t>
      </w:r>
      <w:r w:rsidR="00261A01">
        <w:t xml:space="preserve">usual hours worked. It is around 8 percent higher than </w:t>
      </w:r>
      <w:r>
        <w:t xml:space="preserve">HLFS </w:t>
      </w:r>
      <w:r w:rsidR="00261A01">
        <w:t>actual hours worked</w:t>
      </w:r>
      <w:r>
        <w:t xml:space="preserve">. </w:t>
      </w:r>
      <w:r w:rsidR="00261A01">
        <w:t xml:space="preserve"> Th</w:t>
      </w:r>
      <w:r w:rsidR="00A23BC7">
        <w:t>e</w:t>
      </w:r>
      <w:r w:rsidR="00261A01">
        <w:t>s</w:t>
      </w:r>
      <w:r w:rsidR="00A23BC7">
        <w:t>e series differ because</w:t>
      </w:r>
      <w:r w:rsidR="00261A01">
        <w:t xml:space="preserve"> holidays </w:t>
      </w:r>
      <w:r w:rsidR="00F85AE6">
        <w:t>and</w:t>
      </w:r>
      <w:r w:rsidR="00261A01">
        <w:t xml:space="preserve"> sickness absences </w:t>
      </w:r>
      <w:r w:rsidR="00A23BC7">
        <w:t xml:space="preserve">are included </w:t>
      </w:r>
      <w:r w:rsidR="00261A01">
        <w:t xml:space="preserve">in the usual </w:t>
      </w:r>
      <w:proofErr w:type="gramStart"/>
      <w:r w:rsidR="00261A01">
        <w:t>hours</w:t>
      </w:r>
      <w:proofErr w:type="gramEnd"/>
      <w:r w:rsidR="00261A01">
        <w:t xml:space="preserve"> series. </w:t>
      </w:r>
    </w:p>
    <w:p w:rsidR="004220B2" w:rsidRDefault="00261A01" w:rsidP="00261A01">
      <w:r>
        <w:lastRenderedPageBreak/>
        <w:t>The series with the lowest level is the</w:t>
      </w:r>
      <w:r w:rsidR="00084A67">
        <w:t xml:space="preserve"> labour volume series</w:t>
      </w:r>
      <w:r>
        <w:t xml:space="preserve"> </w:t>
      </w:r>
      <w:r w:rsidR="00084A67">
        <w:t>(LVS)</w:t>
      </w:r>
      <w:r>
        <w:t xml:space="preserve">. The LVS is around 5 percent lower than </w:t>
      </w:r>
      <w:r w:rsidR="00CD3B71">
        <w:t xml:space="preserve">HLFS </w:t>
      </w:r>
      <w:r>
        <w:t>actual hours worked</w:t>
      </w:r>
      <w:r w:rsidR="00CD3B71">
        <w:t>.</w:t>
      </w:r>
      <w:r>
        <w:t xml:space="preserve">  As mentioned earlier</w:t>
      </w:r>
      <w:r w:rsidR="00F85AE6">
        <w:t>, the LVS</w:t>
      </w:r>
      <w:r>
        <w:t xml:space="preserve"> is a measure of paid hours. It excludes hours worked that are not compensated, such as unpaid overtime and voluntary work, and includes hours paid for that are not worked, such as holiday or sick leave. There are also coverage differences between the HLFS survey estimates and the LVS data</w:t>
      </w:r>
      <w:r w:rsidR="0044390F">
        <w:t>.</w:t>
      </w:r>
    </w:p>
    <w:p w:rsidR="00261A01" w:rsidRPr="00DA11F1" w:rsidRDefault="00261A01" w:rsidP="00261A01">
      <w:pPr>
        <w:pStyle w:val="StyleFigureTitle111ptBefore0ptAfter6pt"/>
      </w:pPr>
      <w:r>
        <w:t xml:space="preserve">Figure </w:t>
      </w:r>
      <w:r w:rsidR="00EF2551">
        <w:t>5</w:t>
      </w:r>
      <w:r>
        <w:br/>
        <w:t xml:space="preserve">Measured sector HLFS </w:t>
      </w:r>
      <w:r w:rsidR="009A3AD6">
        <w:t>vs.</w:t>
      </w:r>
      <w:r>
        <w:t xml:space="preserve"> LVS level</w:t>
      </w:r>
    </w:p>
    <w:p w:rsidR="004220B2" w:rsidRDefault="001B5D91" w:rsidP="001A61FC">
      <w:r w:rsidRPr="001B5D91">
        <w:rPr>
          <w:noProof/>
          <w:lang w:eastAsia="en-NZ"/>
        </w:rPr>
        <w:drawing>
          <wp:inline distT="0" distB="0" distL="0" distR="0">
            <wp:extent cx="5731510" cy="3033780"/>
            <wp:effectExtent l="19050" t="0" r="2540" b="0"/>
            <wp:docPr id="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srcRect/>
                    <a:stretch>
                      <a:fillRect/>
                    </a:stretch>
                  </pic:blipFill>
                  <pic:spPr bwMode="auto">
                    <a:xfrm>
                      <a:off x="0" y="0"/>
                      <a:ext cx="5731510" cy="3033780"/>
                    </a:xfrm>
                    <a:prstGeom prst="rect">
                      <a:avLst/>
                    </a:prstGeom>
                    <a:noFill/>
                    <a:ln w="9525">
                      <a:noFill/>
                      <a:miter lim="800000"/>
                      <a:headEnd/>
                      <a:tailEnd/>
                    </a:ln>
                  </pic:spPr>
                </pic:pic>
              </a:graphicData>
            </a:graphic>
          </wp:inline>
        </w:drawing>
      </w:r>
    </w:p>
    <w:p w:rsidR="00D20B68" w:rsidRDefault="00D20B68" w:rsidP="00261A01">
      <w:r>
        <w:t xml:space="preserve">Comparing these new </w:t>
      </w:r>
      <w:r w:rsidR="00123E6E">
        <w:t>measures of</w:t>
      </w:r>
      <w:r w:rsidR="006055AD">
        <w:t xml:space="preserve"> industry</w:t>
      </w:r>
      <w:r w:rsidR="00123E6E">
        <w:t xml:space="preserve"> labour </w:t>
      </w:r>
      <w:r w:rsidR="006055AD">
        <w:t>volume</w:t>
      </w:r>
      <w:r w:rsidR="00123E6E">
        <w:t xml:space="preserve"> with</w:t>
      </w:r>
      <w:r>
        <w:t xml:space="preserve"> Australia</w:t>
      </w:r>
      <w:r w:rsidR="00123E6E">
        <w:t>n data</w:t>
      </w:r>
      <w:r>
        <w:t xml:space="preserve"> sheds light on the labour composition</w:t>
      </w:r>
      <w:r w:rsidR="001F63C2">
        <w:t xml:space="preserve"> of the two countries</w:t>
      </w:r>
      <w:r w:rsidR="009A3AD6">
        <w:t xml:space="preserve">. </w:t>
      </w:r>
      <w:r w:rsidR="001F63C2">
        <w:t xml:space="preserve">Figure </w:t>
      </w:r>
      <w:r w:rsidR="00793C4C">
        <w:t>6</w:t>
      </w:r>
      <w:r>
        <w:t xml:space="preserve"> shows the distribution of hours worked in the measured sector</w:t>
      </w:r>
      <w:r>
        <w:rPr>
          <w:rStyle w:val="FootnoteReference"/>
        </w:rPr>
        <w:footnoteReference w:id="5"/>
      </w:r>
      <w:r>
        <w:t xml:space="preserve"> from the ABS </w:t>
      </w:r>
      <w:r w:rsidR="005A00AD">
        <w:t>Labour F</w:t>
      </w:r>
      <w:r>
        <w:t xml:space="preserve">orce </w:t>
      </w:r>
      <w:r w:rsidR="005A00AD">
        <w:t>S</w:t>
      </w:r>
      <w:r>
        <w:t>urvey compared with Statistics NZ LVS</w:t>
      </w:r>
      <w:r w:rsidR="009A3AD6">
        <w:t xml:space="preserve">. </w:t>
      </w:r>
      <w:r>
        <w:t>In general, hours are distributed similarly across the two countries</w:t>
      </w:r>
      <w:r w:rsidR="009A3AD6">
        <w:t xml:space="preserve">. </w:t>
      </w:r>
      <w:r>
        <w:t>New Zealand has relatively more hours in manufacturing and agriculture, forestry, and fishing, while Australia has more in retail trade and mining.</w:t>
      </w:r>
    </w:p>
    <w:p w:rsidR="00D20B68" w:rsidRDefault="00D20B68" w:rsidP="00EF2551">
      <w:pPr>
        <w:pStyle w:val="StyleFigureTitle111ptBefore0ptAfter6pt"/>
      </w:pPr>
      <w:r>
        <w:lastRenderedPageBreak/>
        <w:t xml:space="preserve">Figure </w:t>
      </w:r>
      <w:r w:rsidR="00793C4C">
        <w:t>6</w:t>
      </w:r>
    </w:p>
    <w:p w:rsidR="007050C1" w:rsidRDefault="00EF2551" w:rsidP="00EF2551">
      <w:pPr>
        <w:pStyle w:val="StyleFigureTitle111ptBefore0ptAfter6pt"/>
      </w:pPr>
      <w:r>
        <w:t>Industry share of measured sector hours work</w:t>
      </w:r>
      <w:r w:rsidR="00D20B68">
        <w:t xml:space="preserve"> New Zealand and </w:t>
      </w:r>
      <w:r w:rsidR="007050C1">
        <w:t>Australia</w:t>
      </w:r>
      <w:r w:rsidR="00D20B68">
        <w:t xml:space="preserve"> 2008</w:t>
      </w:r>
    </w:p>
    <w:p w:rsidR="007050C1" w:rsidRDefault="00107FAA" w:rsidP="00261A01">
      <w:r w:rsidRPr="00107FAA">
        <w:rPr>
          <w:noProof/>
          <w:lang w:eastAsia="en-NZ"/>
        </w:rPr>
        <w:drawing>
          <wp:inline distT="0" distB="0" distL="0" distR="0">
            <wp:extent cx="4781550" cy="3943350"/>
            <wp:effectExtent l="19050" t="0" r="0" b="0"/>
            <wp:docPr id="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4781550" cy="3943350"/>
                    </a:xfrm>
                    <a:prstGeom prst="rect">
                      <a:avLst/>
                    </a:prstGeom>
                    <a:noFill/>
                    <a:ln w="9525">
                      <a:noFill/>
                      <a:miter lim="800000"/>
                      <a:headEnd/>
                      <a:tailEnd/>
                    </a:ln>
                  </pic:spPr>
                </pic:pic>
              </a:graphicData>
            </a:graphic>
          </wp:inline>
        </w:drawing>
      </w:r>
    </w:p>
    <w:p w:rsidR="00D20B68" w:rsidRDefault="00896E9D" w:rsidP="00261A01">
      <w:r>
        <w:t>While it would be ideal to compare levels of GDP per hour for New Zealand and Australia</w:t>
      </w:r>
      <w:r w:rsidR="00DD28A7">
        <w:t>n industries</w:t>
      </w:r>
      <w:r>
        <w:t>, this is problematic for several reasons</w:t>
      </w:r>
      <w:r w:rsidR="00F27FAE">
        <w:t>, including</w:t>
      </w:r>
      <w:r>
        <w:t>:</w:t>
      </w:r>
    </w:p>
    <w:p w:rsidR="00896E9D" w:rsidRPr="00EB1311" w:rsidRDefault="00DD28A7" w:rsidP="00B555FC">
      <w:pPr>
        <w:pStyle w:val="ListBullet"/>
        <w:numPr>
          <w:ilvl w:val="0"/>
          <w:numId w:val="13"/>
        </w:numPr>
      </w:pPr>
      <w:r w:rsidRPr="00EB1311">
        <w:t xml:space="preserve">an </w:t>
      </w:r>
      <w:r w:rsidR="00896E9D" w:rsidRPr="00EB1311">
        <w:t>absence of industry</w:t>
      </w:r>
      <w:r w:rsidRPr="00EB1311">
        <w:t>-</w:t>
      </w:r>
      <w:r w:rsidR="00896E9D" w:rsidRPr="00EB1311">
        <w:t>level purchasing power parities</w:t>
      </w:r>
    </w:p>
    <w:p w:rsidR="00896E9D" w:rsidRPr="00EB1311" w:rsidRDefault="00DD28A7" w:rsidP="00B555FC">
      <w:pPr>
        <w:pStyle w:val="ListBullet"/>
        <w:numPr>
          <w:ilvl w:val="0"/>
          <w:numId w:val="13"/>
        </w:numPr>
      </w:pPr>
      <w:r w:rsidRPr="00EB1311">
        <w:t xml:space="preserve">differences </w:t>
      </w:r>
      <w:r w:rsidR="00896E9D" w:rsidRPr="00EB1311">
        <w:t>in industrial classification between the two countries</w:t>
      </w:r>
    </w:p>
    <w:p w:rsidR="00896E9D" w:rsidRDefault="00DD28A7" w:rsidP="00B555FC">
      <w:pPr>
        <w:pStyle w:val="ListBullet"/>
        <w:numPr>
          <w:ilvl w:val="0"/>
          <w:numId w:val="13"/>
        </w:numPr>
      </w:pPr>
      <w:proofErr w:type="gramStart"/>
      <w:r>
        <w:t>a</w:t>
      </w:r>
      <w:proofErr w:type="gramEnd"/>
      <w:r>
        <w:t xml:space="preserve"> </w:t>
      </w:r>
      <w:r w:rsidR="00896E9D">
        <w:t>lack of understanding around the impact of comparing hours paid and hours worked between the two countries</w:t>
      </w:r>
      <w:r>
        <w:t>.</w:t>
      </w:r>
    </w:p>
    <w:p w:rsidR="00896E9D" w:rsidRDefault="00896E9D" w:rsidP="00896E9D">
      <w:r>
        <w:t>What can be gleaned from the new data however is a better understanding of</w:t>
      </w:r>
      <w:r w:rsidR="0094400D">
        <w:t xml:space="preserve"> how GDP per hour paid differs between New Zealand industries</w:t>
      </w:r>
      <w:r w:rsidR="00B375BE">
        <w:t xml:space="preserve"> (See figure 7)</w:t>
      </w:r>
      <w:r w:rsidR="0094400D">
        <w:t>.</w:t>
      </w:r>
      <w:r>
        <w:t xml:space="preserve"> </w:t>
      </w:r>
      <w:r w:rsidR="00B375BE">
        <w:t>This comparison comes with some caveats:</w:t>
      </w:r>
    </w:p>
    <w:p w:rsidR="00896E9D" w:rsidRDefault="00EF07D8" w:rsidP="00B555FC">
      <w:pPr>
        <w:pStyle w:val="ListBullet"/>
        <w:numPr>
          <w:ilvl w:val="0"/>
          <w:numId w:val="14"/>
        </w:numPr>
      </w:pPr>
      <w:proofErr w:type="gramStart"/>
      <w:r>
        <w:t>c</w:t>
      </w:r>
      <w:r w:rsidR="00896E9D">
        <w:t>onsidering</w:t>
      </w:r>
      <w:proofErr w:type="gramEnd"/>
      <w:r w:rsidR="00896E9D">
        <w:t xml:space="preserve"> GDP per hour across industry doe</w:t>
      </w:r>
      <w:r w:rsidR="00440359">
        <w:t>s not take capital</w:t>
      </w:r>
      <w:r w:rsidR="00FB0FCF">
        <w:t xml:space="preserve"> intensity</w:t>
      </w:r>
      <w:r w:rsidR="0094400D">
        <w:t xml:space="preserve"> into account</w:t>
      </w:r>
      <w:r w:rsidR="009A3AD6">
        <w:t xml:space="preserve">. </w:t>
      </w:r>
      <w:r w:rsidR="0094400D">
        <w:t>T</w:t>
      </w:r>
      <w:r w:rsidR="001254B0">
        <w:t>herefore</w:t>
      </w:r>
      <w:r w:rsidR="0094400D">
        <w:t>,</w:t>
      </w:r>
      <w:r w:rsidR="001254B0">
        <w:t xml:space="preserve"> </w:t>
      </w:r>
      <w:r w:rsidR="00440359">
        <w:t>technological change is not adequately considered</w:t>
      </w:r>
    </w:p>
    <w:p w:rsidR="0094400D" w:rsidRDefault="00EF07D8" w:rsidP="00B555FC">
      <w:pPr>
        <w:pStyle w:val="ListBullet"/>
        <w:numPr>
          <w:ilvl w:val="0"/>
          <w:numId w:val="14"/>
        </w:numPr>
      </w:pPr>
      <w:proofErr w:type="gramStart"/>
      <w:r>
        <w:t>d</w:t>
      </w:r>
      <w:r w:rsidR="00440359">
        <w:t>ifferences</w:t>
      </w:r>
      <w:proofErr w:type="gramEnd"/>
      <w:r w:rsidR="00440359">
        <w:t xml:space="preserve"> in the quality of labour across industries are not accounted for</w:t>
      </w:r>
      <w:r w:rsidR="00FB0FCF">
        <w:t>.</w:t>
      </w:r>
      <w:r w:rsidR="0094400D">
        <w:t xml:space="preserve"> </w:t>
      </w:r>
    </w:p>
    <w:p w:rsidR="00FB0FCF" w:rsidRDefault="0094400D" w:rsidP="001D032B">
      <w:pPr>
        <w:pStyle w:val="ListBullet"/>
      </w:pPr>
      <w:r>
        <w:t>F</w:t>
      </w:r>
      <w:r w:rsidR="001254B0">
        <w:t xml:space="preserve">igure </w:t>
      </w:r>
      <w:r w:rsidR="00793C4C">
        <w:t>7</w:t>
      </w:r>
      <w:r>
        <w:t xml:space="preserve"> shows the change in the level of GDP per hour paid in 2000 and 2010. This </w:t>
      </w:r>
      <w:r w:rsidR="009A3AD6">
        <w:t>measure</w:t>
      </w:r>
      <w:r w:rsidR="00440359">
        <w:t xml:space="preserve"> combines </w:t>
      </w:r>
      <w:r w:rsidR="006A0984">
        <w:t xml:space="preserve">data about </w:t>
      </w:r>
      <w:r w:rsidR="00440359">
        <w:t xml:space="preserve">the </w:t>
      </w:r>
      <w:r w:rsidR="00FB0FCF">
        <w:t xml:space="preserve">level and growth in </w:t>
      </w:r>
      <w:r w:rsidR="00F27FAE">
        <w:t xml:space="preserve">labour </w:t>
      </w:r>
      <w:r w:rsidR="00FB0FCF">
        <w:t>productivity for the Statistics NZ measured sector industries</w:t>
      </w:r>
      <w:r w:rsidR="002A24C6">
        <w:t xml:space="preserve">. </w:t>
      </w:r>
      <w:r w:rsidR="00FB0FCF">
        <w:t>Some key points are:</w:t>
      </w:r>
      <w:r>
        <w:t xml:space="preserve"> shows that</w:t>
      </w:r>
      <w:r w:rsidR="0087106D">
        <w:t xml:space="preserve"> </w:t>
      </w:r>
    </w:p>
    <w:p w:rsidR="00440359" w:rsidRDefault="00B375BE" w:rsidP="00B555FC">
      <w:pPr>
        <w:pStyle w:val="ListBullet"/>
        <w:numPr>
          <w:ilvl w:val="0"/>
          <w:numId w:val="15"/>
        </w:numPr>
      </w:pPr>
      <w:r>
        <w:t xml:space="preserve">the </w:t>
      </w:r>
      <w:r w:rsidR="0087106D">
        <w:t xml:space="preserve">industries with a high level of labour </w:t>
      </w:r>
      <w:r w:rsidR="009A3AD6">
        <w:t>productivity are</w:t>
      </w:r>
      <w:r w:rsidR="00FB0FCF">
        <w:t xml:space="preserve"> capital</w:t>
      </w:r>
      <w:r w:rsidR="0087106D">
        <w:t>-</w:t>
      </w:r>
      <w:r w:rsidR="00FB0FCF">
        <w:t>intensive industries</w:t>
      </w:r>
    </w:p>
    <w:p w:rsidR="00FB0FCF" w:rsidRDefault="00EF07D8" w:rsidP="00B555FC">
      <w:pPr>
        <w:pStyle w:val="ListBullet"/>
        <w:numPr>
          <w:ilvl w:val="0"/>
          <w:numId w:val="15"/>
        </w:numPr>
      </w:pPr>
      <w:r>
        <w:t xml:space="preserve">the </w:t>
      </w:r>
      <w:r w:rsidR="0087106D">
        <w:t xml:space="preserve">industries with a high level of labour </w:t>
      </w:r>
      <w:r w:rsidR="009A3AD6">
        <w:t>productivity are</w:t>
      </w:r>
      <w:r w:rsidR="0087106D">
        <w:t xml:space="preserve"> </w:t>
      </w:r>
      <w:r w:rsidR="00FB0FCF">
        <w:t>relatively small industries in the New Zealand economy (in both output and labour input)</w:t>
      </w:r>
    </w:p>
    <w:p w:rsidR="00FB0FCF" w:rsidRDefault="00EF07D8" w:rsidP="00B555FC">
      <w:pPr>
        <w:pStyle w:val="ListBullet"/>
        <w:numPr>
          <w:ilvl w:val="0"/>
          <w:numId w:val="15"/>
        </w:numPr>
      </w:pPr>
      <w:proofErr w:type="gramStart"/>
      <w:r>
        <w:t>the</w:t>
      </w:r>
      <w:proofErr w:type="gramEnd"/>
      <w:r>
        <w:t xml:space="preserve"> </w:t>
      </w:r>
      <w:r w:rsidR="0087106D">
        <w:t xml:space="preserve">industries with a low level of labour productivity </w:t>
      </w:r>
      <w:r w:rsidR="00FB0FCF">
        <w:t>(such as accommodation, cafes, and restaurants, or construction) are characterised by high proportions of part-time workers, and are generally labour</w:t>
      </w:r>
      <w:r w:rsidR="0087106D">
        <w:t>-i</w:t>
      </w:r>
      <w:r w:rsidR="00FB0FCF">
        <w:t>ntensive</w:t>
      </w:r>
      <w:r w:rsidR="0087106D">
        <w:t>.</w:t>
      </w:r>
    </w:p>
    <w:p w:rsidR="0087106D" w:rsidRDefault="0087106D" w:rsidP="001D032B">
      <w:pPr>
        <w:pStyle w:val="ListBullet"/>
      </w:pPr>
    </w:p>
    <w:p w:rsidR="00FF6EB0" w:rsidRDefault="001254B0" w:rsidP="00FF6EB0">
      <w:pPr>
        <w:pStyle w:val="StyleFigureTitle111ptBefore0ptAfter6pt"/>
      </w:pPr>
      <w:r>
        <w:lastRenderedPageBreak/>
        <w:t xml:space="preserve">Figure </w:t>
      </w:r>
      <w:r w:rsidR="00793C4C">
        <w:t>7</w:t>
      </w:r>
    </w:p>
    <w:p w:rsidR="00FF6EB0" w:rsidRDefault="00FF6EB0" w:rsidP="00FF6EB0">
      <w:pPr>
        <w:pStyle w:val="StyleFigureTitle111ptBefore0ptAfter6pt"/>
      </w:pPr>
      <w:r>
        <w:t>New Zealand GDP per hour paid by industry</w:t>
      </w:r>
    </w:p>
    <w:p w:rsidR="007050C1" w:rsidRDefault="00107FAA" w:rsidP="00261A01">
      <w:r w:rsidRPr="00107FAA">
        <w:rPr>
          <w:noProof/>
          <w:lang w:eastAsia="en-NZ"/>
        </w:rPr>
        <w:drawing>
          <wp:inline distT="0" distB="0" distL="0" distR="0">
            <wp:extent cx="5124450" cy="3848100"/>
            <wp:effectExtent l="19050" t="0" r="0" b="0"/>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5124450" cy="3848100"/>
                    </a:xfrm>
                    <a:prstGeom prst="rect">
                      <a:avLst/>
                    </a:prstGeom>
                    <a:noFill/>
                    <a:ln w="9525">
                      <a:noFill/>
                      <a:miter lim="800000"/>
                      <a:headEnd/>
                      <a:tailEnd/>
                    </a:ln>
                  </pic:spPr>
                </pic:pic>
              </a:graphicData>
            </a:graphic>
          </wp:inline>
        </w:drawing>
      </w:r>
    </w:p>
    <w:p w:rsidR="00B15ED9" w:rsidRDefault="00B15ED9" w:rsidP="00B15ED9">
      <w:pPr>
        <w:pStyle w:val="Heading4"/>
      </w:pPr>
      <w:r>
        <w:t>4.2 Residential dwellings, property services, and business services</w:t>
      </w:r>
    </w:p>
    <w:p w:rsidR="00EC22D3" w:rsidRDefault="0028144F" w:rsidP="00EC22D3">
      <w:r>
        <w:t>I</w:t>
      </w:r>
      <w:r w:rsidR="00EC22D3">
        <w:t xml:space="preserve">mputed rents of owner-occupied dwellings are included in the National Accounts so that GDP is not affected by relative shifts in the size of the owner-occupied and rental housing sectors. </w:t>
      </w:r>
    </w:p>
    <w:p w:rsidR="00EC22D3" w:rsidRDefault="00EC22D3" w:rsidP="00EC22D3">
      <w:r>
        <w:t xml:space="preserve">However, there are two fundamental differences in the approaches used by </w:t>
      </w:r>
      <w:r w:rsidR="00FF6EB0">
        <w:t xml:space="preserve">Statistics NZ </w:t>
      </w:r>
      <w:r>
        <w:t>and the ABS. Firstly, the ABS ‘ownership of dwellings’ industry in the National Accounts covers</w:t>
      </w:r>
      <w:r w:rsidR="006E1123">
        <w:t xml:space="preserve"> private rental dwellings as well as</w:t>
      </w:r>
      <w:r>
        <w:t xml:space="preserve"> owner-occupied dwellings. In the New Zealand National Accounts, private rental dwellings are included within the property services industry. While this has an impact on the relative size of the ownership of dwellings industry in the two countries, the impact on growth rates is less obvious and not thought to be significant. </w:t>
      </w:r>
    </w:p>
    <w:p w:rsidR="00D42724" w:rsidRDefault="00EC22D3" w:rsidP="00EC22D3">
      <w:r>
        <w:t>Secondly, Statistics NZ</w:t>
      </w:r>
      <w:r w:rsidR="00F44B6C">
        <w:t>’s</w:t>
      </w:r>
      <w:r>
        <w:t xml:space="preserve"> gross output volume measure is essentially the growth in the number of owner-occupied dwellings. There is no distinction between differences in the type or quality of the dwelling. The ABS approach also measures growth in the number of owner-occupied dwellings, as well as implicitly adjusting for quality, using location and the number of bedrooms as proxies (refer </w:t>
      </w:r>
      <w:r w:rsidR="00770AFF">
        <w:t>to s</w:t>
      </w:r>
      <w:r>
        <w:t>ection 4.3 of</w:t>
      </w:r>
      <w:r w:rsidR="00B87E77">
        <w:t xml:space="preserve"> </w:t>
      </w:r>
      <w:r w:rsidR="00B87E77" w:rsidRPr="00427A9F">
        <w:rPr>
          <w:i/>
        </w:rPr>
        <w:t>Taking on the West Island: How does New Zealand’s labour productivity stack up?</w:t>
      </w:r>
      <w:r w:rsidR="00E62DD3">
        <w:rPr>
          <w:i/>
        </w:rPr>
        <w:t>).</w:t>
      </w:r>
    </w:p>
    <w:p w:rsidR="00EC22D3" w:rsidRDefault="00EC22D3" w:rsidP="00EC22D3">
      <w:r>
        <w:t xml:space="preserve">To get a </w:t>
      </w:r>
      <w:r w:rsidR="00F27FAE">
        <w:t xml:space="preserve">sense </w:t>
      </w:r>
      <w:r>
        <w:t xml:space="preserve">of the difference that this adjustment makes, </w:t>
      </w:r>
      <w:r w:rsidR="0090212B">
        <w:t xml:space="preserve">the </w:t>
      </w:r>
      <w:r w:rsidR="00D42724">
        <w:t xml:space="preserve">analysis in </w:t>
      </w:r>
      <w:r w:rsidR="00D42724" w:rsidRPr="00427A9F">
        <w:rPr>
          <w:i/>
        </w:rPr>
        <w:t>Taking on the West Island: How does New Zealand’s labour productivity stack up?</w:t>
      </w:r>
      <w:r w:rsidR="00D42724">
        <w:rPr>
          <w:i/>
        </w:rPr>
        <w:t xml:space="preserve"> </w:t>
      </w:r>
      <w:proofErr w:type="gramStart"/>
      <w:r>
        <w:t>removed</w:t>
      </w:r>
      <w:proofErr w:type="gramEnd"/>
      <w:r>
        <w:t xml:space="preserve"> the quality component and simply captured increases in the number of dwellings in each country.  Over the 17 years from 1991 to 2008, the growth rates were very similar</w:t>
      </w:r>
      <w:r w:rsidR="00D42724">
        <w:t>. Annual growth was</w:t>
      </w:r>
      <w:r>
        <w:t xml:space="preserve"> 1.4 percent for Australia and 1.3 percent for New Z</w:t>
      </w:r>
      <w:r w:rsidR="005C54ED">
        <w:t>ealand</w:t>
      </w:r>
      <w:r w:rsidR="009A3AD6">
        <w:t xml:space="preserve">. </w:t>
      </w:r>
      <w:r w:rsidR="005C54ED">
        <w:t>This adjustment amounted</w:t>
      </w:r>
      <w:r>
        <w:t xml:space="preserve"> to approximately 0.15 percentage points of the growth in economy-wide output per year</w:t>
      </w:r>
      <w:r w:rsidR="00475384">
        <w:t>,</w:t>
      </w:r>
      <w:r>
        <w:t xml:space="preserve"> over the period 1991 to 2008.</w:t>
      </w:r>
    </w:p>
    <w:p w:rsidR="00EC22D3" w:rsidRDefault="00425029" w:rsidP="00EC22D3">
      <w:r>
        <w:t xml:space="preserve">Statistics NZ </w:t>
      </w:r>
      <w:r w:rsidR="008166E8">
        <w:t>is looking</w:t>
      </w:r>
      <w:r>
        <w:t xml:space="preserve"> further into accounting for quality change for </w:t>
      </w:r>
      <w:r w:rsidR="00FF6EB0">
        <w:t xml:space="preserve">their volume measures of </w:t>
      </w:r>
      <w:r>
        <w:t xml:space="preserve">owner-occupied dwellings. This would involve using deflated current price </w:t>
      </w:r>
      <w:r w:rsidR="00FF6EB0">
        <w:t xml:space="preserve">techniques </w:t>
      </w:r>
      <w:r>
        <w:t xml:space="preserve">for their </w:t>
      </w:r>
      <w:r w:rsidR="00FF6EB0">
        <w:t>volume estimates of dwellings</w:t>
      </w:r>
      <w:r>
        <w:t xml:space="preserve">. </w:t>
      </w:r>
      <w:r w:rsidR="00FF6EB0">
        <w:t>This methodology involves</w:t>
      </w:r>
      <w:r w:rsidR="00EC22D3">
        <w:t xml:space="preserve"> </w:t>
      </w:r>
      <w:r>
        <w:t>using quality</w:t>
      </w:r>
      <w:r w:rsidR="008166E8">
        <w:t>-</w:t>
      </w:r>
      <w:r>
        <w:t>adjusted price deflators</w:t>
      </w:r>
      <w:r w:rsidR="008166E8">
        <w:t xml:space="preserve"> that</w:t>
      </w:r>
      <w:r w:rsidR="00EC22D3">
        <w:t xml:space="preserve"> would implicitly </w:t>
      </w:r>
      <w:r>
        <w:t>account for changes in quality of the housing stocks</w:t>
      </w:r>
      <w:r w:rsidR="00EC22D3">
        <w:t>.</w:t>
      </w:r>
    </w:p>
    <w:p w:rsidR="00EC22D3" w:rsidRDefault="00EC22D3" w:rsidP="00EC22D3">
      <w:r>
        <w:lastRenderedPageBreak/>
        <w:t xml:space="preserve">In 2011, Statistics NZ </w:t>
      </w:r>
      <w:r w:rsidR="00301466">
        <w:t xml:space="preserve">published </w:t>
      </w:r>
      <w:r w:rsidRPr="00BC77CB">
        <w:rPr>
          <w:i/>
        </w:rPr>
        <w:t xml:space="preserve">Property Services </w:t>
      </w:r>
      <w:r w:rsidR="009349F9">
        <w:rPr>
          <w:i/>
        </w:rPr>
        <w:t>Productivity: 1996–2009</w:t>
      </w:r>
      <w:r w:rsidR="00301466">
        <w:t xml:space="preserve"> (Statistics NZ, 2011). This examined </w:t>
      </w:r>
      <w:r>
        <w:t xml:space="preserve">the role of residential dwellings in productivity analysis.  The main points </w:t>
      </w:r>
      <w:r w:rsidR="00FF6EB0">
        <w:t xml:space="preserve">from </w:t>
      </w:r>
      <w:r>
        <w:t>this recent work include:</w:t>
      </w:r>
    </w:p>
    <w:p w:rsidR="00301466" w:rsidRDefault="00EC22D3" w:rsidP="005F7B58">
      <w:pPr>
        <w:pStyle w:val="ListParagraph"/>
        <w:numPr>
          <w:ilvl w:val="0"/>
          <w:numId w:val="16"/>
        </w:numPr>
      </w:pPr>
      <w:r>
        <w:t>Measurement of productivity in the property services industry is difficult</w:t>
      </w:r>
      <w:r w:rsidR="00301466">
        <w:t>. T</w:t>
      </w:r>
      <w:r>
        <w:t xml:space="preserve">his has </w:t>
      </w:r>
      <w:r w:rsidR="00301466">
        <w:t xml:space="preserve">meant it was excluded </w:t>
      </w:r>
      <w:r>
        <w:t>from the measured sector until recently</w:t>
      </w:r>
      <w:r w:rsidR="009A3AD6">
        <w:t xml:space="preserve">. </w:t>
      </w:r>
      <w:r w:rsidR="00301466">
        <w:t xml:space="preserve">Recent methodological improvements mean that the property services industry can now be included in New Zealand productivity statistics. </w:t>
      </w:r>
    </w:p>
    <w:p w:rsidR="00EC22D3" w:rsidRDefault="00A67483" w:rsidP="005F7B58">
      <w:pPr>
        <w:pStyle w:val="ListBullet"/>
        <w:numPr>
          <w:ilvl w:val="0"/>
          <w:numId w:val="16"/>
        </w:numPr>
      </w:pPr>
      <w:r>
        <w:t>I</w:t>
      </w:r>
      <w:r w:rsidR="00EC22D3">
        <w:t xml:space="preserve">n the output measure, recent enhancements made within the </w:t>
      </w:r>
      <w:r w:rsidR="00301466">
        <w:t>N</w:t>
      </w:r>
      <w:r w:rsidR="00EC22D3">
        <w:t>ational accounts can now more accurately capture the activity of commercial property operators and developers</w:t>
      </w:r>
      <w:r w:rsidR="00EC22D3">
        <w:rPr>
          <w:rStyle w:val="FootnoteReference"/>
        </w:rPr>
        <w:footnoteReference w:id="6"/>
      </w:r>
      <w:r w:rsidR="00EC22D3">
        <w:t xml:space="preserve">. </w:t>
      </w:r>
      <w:r w:rsidR="00301466">
        <w:t>This affects the output measure used to calculate productivity statistics.</w:t>
      </w:r>
    </w:p>
    <w:p w:rsidR="00301466" w:rsidRDefault="005F7B58" w:rsidP="005F7B58">
      <w:pPr>
        <w:pStyle w:val="ListBullet"/>
        <w:numPr>
          <w:ilvl w:val="0"/>
          <w:numId w:val="16"/>
        </w:numPr>
      </w:pPr>
      <w:r>
        <w:t>T</w:t>
      </w:r>
      <w:r w:rsidR="00EC22D3">
        <w:t xml:space="preserve">he activity of private landlords is included within the output measure, but no estimate of their labour input is included. </w:t>
      </w:r>
      <w:r w:rsidR="00301466">
        <w:t xml:space="preserve">This is because it is difficult to </w:t>
      </w:r>
      <w:r w:rsidR="009A3AD6">
        <w:t>get an</w:t>
      </w:r>
      <w:r w:rsidR="00EC22D3">
        <w:t xml:space="preserve"> accurate estimate of paid hours for private landlords. Many private landlords have another primary occupation, and so their role as a private landlord is not captured in survey data. </w:t>
      </w:r>
    </w:p>
    <w:p w:rsidR="00EC22D3" w:rsidRDefault="00EC22D3" w:rsidP="005F7B58">
      <w:pPr>
        <w:pStyle w:val="ListBullet"/>
        <w:numPr>
          <w:ilvl w:val="0"/>
          <w:numId w:val="16"/>
        </w:numPr>
      </w:pPr>
      <w:r>
        <w:t xml:space="preserve">Also, many </w:t>
      </w:r>
      <w:r w:rsidR="00301466">
        <w:t xml:space="preserve">landlords </w:t>
      </w:r>
      <w:r>
        <w:t xml:space="preserve">are not GST-registered, and therefore are not captured in administrative data. </w:t>
      </w:r>
      <w:r w:rsidR="00F85AE6">
        <w:t>The absence of survey,</w:t>
      </w:r>
      <w:r>
        <w:t xml:space="preserve"> administrative data, or robust estimates from industry sources, </w:t>
      </w:r>
      <w:r w:rsidR="0010795F">
        <w:t xml:space="preserve">means that it is not possible to accurately estimate </w:t>
      </w:r>
      <w:r>
        <w:t>the labour input of private landlords</w:t>
      </w:r>
      <w:r w:rsidR="009A3AD6">
        <w:t xml:space="preserve">. </w:t>
      </w:r>
      <w:r w:rsidR="0010795F">
        <w:t xml:space="preserve">Excluding the labour input of private landlords </w:t>
      </w:r>
      <w:r>
        <w:t>implies inconsistent coverage between the labour productivity numerator (output) and denominator (labour input). While the level of labour productivity in the industry will be overstated, the impact on growth rates cannot be determined</w:t>
      </w:r>
      <w:r w:rsidR="0010795F">
        <w:t xml:space="preserve">. </w:t>
      </w:r>
      <w:r w:rsidR="009A3AD6">
        <w:t>However, it</w:t>
      </w:r>
      <w:r>
        <w:t xml:space="preserve"> is likely to be small.</w:t>
      </w:r>
    </w:p>
    <w:p w:rsidR="00EC22D3" w:rsidRDefault="005F7B58" w:rsidP="005F7B58">
      <w:pPr>
        <w:pStyle w:val="ListBullet"/>
        <w:numPr>
          <w:ilvl w:val="0"/>
          <w:numId w:val="16"/>
        </w:numPr>
      </w:pPr>
      <w:r>
        <w:t>Re</w:t>
      </w:r>
      <w:r w:rsidR="00EC22D3">
        <w:t>sidential land is included as a capital asset within the property services industry. Land is not used up in the production process like other assets, but it is essential for enabling firms within the industry to produce output</w:t>
      </w:r>
      <w:r w:rsidR="00EC22D3">
        <w:rPr>
          <w:rStyle w:val="FootnoteReference"/>
        </w:rPr>
        <w:footnoteReference w:id="7"/>
      </w:r>
      <w:r w:rsidR="00EC22D3">
        <w:t>.</w:t>
      </w:r>
      <w:r w:rsidR="008D78CD">
        <w:t xml:space="preserve"> T</w:t>
      </w:r>
      <w:r w:rsidR="00EC22D3">
        <w:t>he property services industry includes privately rented residential buildings and land</w:t>
      </w:r>
      <w:r w:rsidR="009A3AD6">
        <w:t xml:space="preserve">. </w:t>
      </w:r>
      <w:r w:rsidR="00EC22D3">
        <w:t xml:space="preserve">This has implications for the comparability of capital between Australia and New Zealand (and MFP) – discussed in </w:t>
      </w:r>
      <w:r w:rsidR="002476FC">
        <w:t xml:space="preserve">section </w:t>
      </w:r>
      <w:r w:rsidR="00EC22D3">
        <w:t xml:space="preserve">5 below.  </w:t>
      </w:r>
    </w:p>
    <w:p w:rsidR="0069270A" w:rsidRDefault="0090212B" w:rsidP="00EC22D3">
      <w:r>
        <w:t>Under ANZSIC</w:t>
      </w:r>
      <w:r w:rsidR="00EC22D3">
        <w:t>06, ‘</w:t>
      </w:r>
      <w:r w:rsidR="008D78CD">
        <w:t>p</w:t>
      </w:r>
      <w:r w:rsidR="00EC22D3">
        <w:t xml:space="preserve">roperty services’ </w:t>
      </w:r>
      <w:r w:rsidR="008D78CD">
        <w:t xml:space="preserve">was </w:t>
      </w:r>
      <w:r w:rsidR="00EC22D3">
        <w:t>re-classified as ‘</w:t>
      </w:r>
      <w:r w:rsidR="008D78CD">
        <w:t>r</w:t>
      </w:r>
      <w:r w:rsidR="00EC22D3">
        <w:t>ental, hiring, and real estate services’</w:t>
      </w:r>
      <w:r w:rsidR="00F27FAE">
        <w:t xml:space="preserve"> (industry L)</w:t>
      </w:r>
      <w:r w:rsidR="00EC22D3">
        <w:t>, with some real estate activity</w:t>
      </w:r>
      <w:r w:rsidR="00EC22D3">
        <w:rPr>
          <w:rStyle w:val="FootnoteReference"/>
        </w:rPr>
        <w:footnoteReference w:id="8"/>
      </w:r>
      <w:r w:rsidR="00EC22D3">
        <w:t xml:space="preserve"> shifting to the ‘</w:t>
      </w:r>
      <w:r w:rsidR="00416F01">
        <w:t xml:space="preserve">construction’ </w:t>
      </w:r>
      <w:r w:rsidR="00EC22D3">
        <w:t>industry</w:t>
      </w:r>
      <w:r w:rsidR="009A3AD6">
        <w:t xml:space="preserve">. </w:t>
      </w:r>
      <w:r w:rsidR="00F27FAE">
        <w:t xml:space="preserve">Within industry L, the </w:t>
      </w:r>
      <w:r w:rsidR="00EC22D3">
        <w:t xml:space="preserve">sub-industry </w:t>
      </w:r>
      <w:r w:rsidR="00416F01">
        <w:t>‘p</w:t>
      </w:r>
      <w:r w:rsidR="00EC22D3">
        <w:t xml:space="preserve">roperty </w:t>
      </w:r>
      <w:r w:rsidR="00416F01">
        <w:t xml:space="preserve">operators </w:t>
      </w:r>
      <w:r w:rsidR="00EC22D3">
        <w:t>and real estate services</w:t>
      </w:r>
      <w:r w:rsidR="00416F01">
        <w:t>’</w:t>
      </w:r>
      <w:r w:rsidR="00EC22D3">
        <w:t xml:space="preserve"> contains private residential landlords, commercial property operators, property management groups, real estate agents, and other services</w:t>
      </w:r>
      <w:r w:rsidR="00F27FAE">
        <w:t xml:space="preserve">.  </w:t>
      </w:r>
    </w:p>
    <w:p w:rsidR="00EC22D3" w:rsidRDefault="00F27FAE" w:rsidP="00EC22D3">
      <w:r>
        <w:t>Although Statistics NZ will</w:t>
      </w:r>
      <w:r w:rsidR="00A67483">
        <w:t xml:space="preserve"> not</w:t>
      </w:r>
      <w:r>
        <w:t xml:space="preserve"> publish productivity measures </w:t>
      </w:r>
      <w:r w:rsidR="0069270A">
        <w:t>using</w:t>
      </w:r>
      <w:r w:rsidR="00F85AE6">
        <w:t xml:space="preserve"> ANZSIC</w:t>
      </w:r>
      <w:r>
        <w:t>06</w:t>
      </w:r>
      <w:r w:rsidR="00A67483">
        <w:t xml:space="preserve"> until</w:t>
      </w:r>
      <w:r>
        <w:t xml:space="preserve"> later in 2012, we do have</w:t>
      </w:r>
      <w:r w:rsidR="0069270A">
        <w:t xml:space="preserve"> information about</w:t>
      </w:r>
      <w:r>
        <w:t xml:space="preserve"> industry contributions to New Zealand GDP </w:t>
      </w:r>
      <w:r w:rsidR="009A3AD6">
        <w:t>that</w:t>
      </w:r>
      <w:r w:rsidR="0069270A">
        <w:t xml:space="preserve"> use </w:t>
      </w:r>
      <w:r w:rsidR="00F85AE6">
        <w:t>new industrial</w:t>
      </w:r>
      <w:r>
        <w:t xml:space="preserve"> </w:t>
      </w:r>
      <w:r w:rsidR="0069270A">
        <w:t>classification</w:t>
      </w:r>
      <w:r w:rsidR="009A3AD6">
        <w:t xml:space="preserve">. </w:t>
      </w:r>
      <w:r>
        <w:t>The ‘</w:t>
      </w:r>
      <w:r w:rsidR="00D82ABE">
        <w:t>p</w:t>
      </w:r>
      <w:r>
        <w:t xml:space="preserve">roperty operators and real estate services’ sub-industry </w:t>
      </w:r>
      <w:r w:rsidR="00EC22D3">
        <w:t xml:space="preserve">makes up around 80 percent of </w:t>
      </w:r>
      <w:r>
        <w:t>industry L’s output</w:t>
      </w:r>
      <w:r w:rsidR="00F45F0C">
        <w:t xml:space="preserve"> in New Zealand</w:t>
      </w:r>
      <w:r w:rsidR="009A3AD6">
        <w:t xml:space="preserve">. </w:t>
      </w:r>
      <w:r w:rsidR="00F45F0C">
        <w:t xml:space="preserve">Approximately </w:t>
      </w:r>
      <w:r w:rsidR="00EC22D3">
        <w:t>half of this sub-industry is private landlords</w:t>
      </w:r>
      <w:r w:rsidR="009A3AD6">
        <w:t xml:space="preserve">. </w:t>
      </w:r>
      <w:r w:rsidR="00F45F0C">
        <w:t>Statistics NZ’s inclusion of private landlords in this industry</w:t>
      </w:r>
      <w:r w:rsidR="00D82ABE">
        <w:t xml:space="preserve"> </w:t>
      </w:r>
      <w:r w:rsidR="00EC22D3">
        <w:t xml:space="preserve">explains the difference in the size of </w:t>
      </w:r>
      <w:r w:rsidR="00D82ABE">
        <w:t xml:space="preserve">the </w:t>
      </w:r>
      <w:r w:rsidR="00EC22D3">
        <w:t>‘</w:t>
      </w:r>
      <w:r w:rsidR="00D82ABE">
        <w:t>r</w:t>
      </w:r>
      <w:r w:rsidR="00EC22D3">
        <w:t xml:space="preserve">ental, hiring, and real estate services’ </w:t>
      </w:r>
      <w:r w:rsidR="00D82ABE">
        <w:t xml:space="preserve">industry </w:t>
      </w:r>
      <w:r w:rsidR="00EC22D3">
        <w:t xml:space="preserve">relative to the </w:t>
      </w:r>
      <w:r w:rsidR="005D656B">
        <w:t xml:space="preserve">industry measured by the </w:t>
      </w:r>
      <w:r w:rsidR="00EC22D3">
        <w:t>ABS (6.7 percent of GDP</w:t>
      </w:r>
      <w:r w:rsidR="00F45F0C">
        <w:t xml:space="preserve"> in</w:t>
      </w:r>
      <w:r w:rsidR="00EC22D3">
        <w:t xml:space="preserve"> and </w:t>
      </w:r>
      <w:r w:rsidR="00F45F0C">
        <w:t>2.7</w:t>
      </w:r>
      <w:r w:rsidR="00EC22D3">
        <w:t xml:space="preserve"> percent of GDP respectively).  </w:t>
      </w:r>
    </w:p>
    <w:p w:rsidR="00BA7562" w:rsidRDefault="00EC22D3" w:rsidP="00EC22D3">
      <w:r>
        <w:t xml:space="preserve">Finally, tables 5 and 6 present some trans-Tasman comparisons of </w:t>
      </w:r>
      <w:r w:rsidR="00B642C4">
        <w:t>‘p</w:t>
      </w:r>
      <w:r>
        <w:t xml:space="preserve">roperty services and </w:t>
      </w:r>
      <w:r w:rsidR="00B642C4">
        <w:t xml:space="preserve">business </w:t>
      </w:r>
      <w:r>
        <w:t>services</w:t>
      </w:r>
      <w:r w:rsidR="00B642C4">
        <w:t>’</w:t>
      </w:r>
      <w:r w:rsidR="009A3AD6">
        <w:t xml:space="preserve">. </w:t>
      </w:r>
      <w:r w:rsidR="00BA7562">
        <w:t xml:space="preserve">Comparison between industries is complicated because </w:t>
      </w:r>
      <w:r>
        <w:t xml:space="preserve">Australian figures are for ANZSIC06 industries while New Zealand’s are </w:t>
      </w:r>
      <w:r w:rsidR="00F649BA">
        <w:t xml:space="preserve">for </w:t>
      </w:r>
      <w:r>
        <w:t>ANZSIC96</w:t>
      </w:r>
      <w:r w:rsidR="00F649BA">
        <w:t xml:space="preserve"> industries</w:t>
      </w:r>
      <w:r>
        <w:t xml:space="preserve">.  </w:t>
      </w:r>
    </w:p>
    <w:p w:rsidR="00763679" w:rsidRDefault="00BA7562" w:rsidP="00EC22D3">
      <w:r>
        <w:lastRenderedPageBreak/>
        <w:t xml:space="preserve">However, </w:t>
      </w:r>
      <w:r w:rsidR="008D225C">
        <w:t>the key message is</w:t>
      </w:r>
      <w:r>
        <w:t xml:space="preserve"> that </w:t>
      </w:r>
      <w:r w:rsidR="002666AB">
        <w:t>in</w:t>
      </w:r>
      <w:r w:rsidR="00F45F0C">
        <w:t xml:space="preserve"> the</w:t>
      </w:r>
      <w:r w:rsidR="00AC0B57">
        <w:t xml:space="preserve"> period from 1996–2010,</w:t>
      </w:r>
      <w:r w:rsidR="00EC22D3">
        <w:t xml:space="preserve"> </w:t>
      </w:r>
      <w:r w:rsidR="002666AB">
        <w:t xml:space="preserve">productivity growth in </w:t>
      </w:r>
      <w:r w:rsidR="00EC22D3">
        <w:t xml:space="preserve">the Australian </w:t>
      </w:r>
      <w:r w:rsidR="00763679">
        <w:t xml:space="preserve">professional, scientific, and technical </w:t>
      </w:r>
      <w:proofErr w:type="gramStart"/>
      <w:r w:rsidR="00763679">
        <w:t>services,</w:t>
      </w:r>
      <w:proofErr w:type="gramEnd"/>
      <w:r w:rsidR="00763679">
        <w:t xml:space="preserve"> and administrative and support services</w:t>
      </w:r>
      <w:r w:rsidR="00AC0B57">
        <w:t xml:space="preserve"> industries</w:t>
      </w:r>
      <w:r w:rsidR="00763679">
        <w:t xml:space="preserve"> (1.6 and 0.6 percent per year, respectively)</w:t>
      </w:r>
      <w:r w:rsidR="00EC22D3">
        <w:t xml:space="preserve"> </w:t>
      </w:r>
      <w:r w:rsidR="00763679">
        <w:t>is higher than</w:t>
      </w:r>
      <w:r w:rsidR="00EC22D3">
        <w:t xml:space="preserve"> the New Zealand business services industry</w:t>
      </w:r>
      <w:r w:rsidR="00763679">
        <w:t xml:space="preserve"> (0.2 percent per year)</w:t>
      </w:r>
      <w:r w:rsidR="00EC22D3">
        <w:t xml:space="preserve">. </w:t>
      </w:r>
      <w:r w:rsidR="00763679">
        <w:t>The</w:t>
      </w:r>
      <w:r w:rsidR="00F45F0C">
        <w:t>se</w:t>
      </w:r>
      <w:r w:rsidR="00763679">
        <w:t xml:space="preserve"> two </w:t>
      </w:r>
      <w:r w:rsidR="002666AB">
        <w:t xml:space="preserve">ANZSIC06 </w:t>
      </w:r>
      <w:r w:rsidR="00763679">
        <w:t>industries are roughly equivalent</w:t>
      </w:r>
      <w:r w:rsidR="00AB10B1">
        <w:t xml:space="preserve"> to</w:t>
      </w:r>
      <w:r w:rsidR="00763679">
        <w:t xml:space="preserve"> the ANZSIC96 </w:t>
      </w:r>
      <w:r w:rsidR="00AB10B1">
        <w:t>‘</w:t>
      </w:r>
      <w:r w:rsidR="00763679">
        <w:t>business services</w:t>
      </w:r>
      <w:r w:rsidR="00AB10B1">
        <w:t>’</w:t>
      </w:r>
      <w:r w:rsidR="00763679">
        <w:t xml:space="preserve"> industry.</w:t>
      </w:r>
    </w:p>
    <w:p w:rsidR="00371C4C" w:rsidRDefault="00EC22D3" w:rsidP="00EC22D3">
      <w:r>
        <w:t>The growth in labour productivity in New Zealand</w:t>
      </w:r>
      <w:r w:rsidR="00043A32">
        <w:t>’s ‘property services’ industry</w:t>
      </w:r>
      <w:r>
        <w:t xml:space="preserve"> is considerably higher than</w:t>
      </w:r>
      <w:r w:rsidR="00043A32">
        <w:t xml:space="preserve"> growth in labour productivity in</w:t>
      </w:r>
      <w:r>
        <w:t xml:space="preserve"> the</w:t>
      </w:r>
      <w:r w:rsidRPr="00EC22D3">
        <w:t xml:space="preserve"> </w:t>
      </w:r>
      <w:r w:rsidR="00043A32">
        <w:t>‘</w:t>
      </w:r>
      <w:r w:rsidRPr="00EC22D3">
        <w:t>rental, hiring, and real estate services</w:t>
      </w:r>
      <w:r w:rsidR="00043A32">
        <w:t>’</w:t>
      </w:r>
      <w:r w:rsidRPr="00EC22D3">
        <w:t xml:space="preserve"> industry in Australia</w:t>
      </w:r>
      <w:r w:rsidR="009A3AD6" w:rsidRPr="00EC22D3">
        <w:t>.</w:t>
      </w:r>
      <w:r w:rsidR="009A3AD6">
        <w:t xml:space="preserve"> </w:t>
      </w:r>
      <w:r w:rsidR="00001FE3">
        <w:t>It is unknown w</w:t>
      </w:r>
      <w:r w:rsidR="00FF6EB0">
        <w:t>hether this is driven by Statistics NZ’s inclusion of private landlords</w:t>
      </w:r>
      <w:r w:rsidR="009A3AD6">
        <w:t xml:space="preserve">. </w:t>
      </w:r>
    </w:p>
    <w:p w:rsidR="00EC22D3" w:rsidRDefault="00371C4C" w:rsidP="00EC22D3">
      <w:r>
        <w:t>Statistics NZ will do a</w:t>
      </w:r>
      <w:r w:rsidR="00EC22D3" w:rsidRPr="00EC22D3">
        <w:t xml:space="preserve"> comprehensive industry comparison </w:t>
      </w:r>
      <w:r>
        <w:t>when we release our</w:t>
      </w:r>
      <w:r w:rsidR="00EC22D3" w:rsidRPr="00EC22D3">
        <w:t xml:space="preserve"> ANZSIC06 productivity estimates later this year.</w:t>
      </w:r>
    </w:p>
    <w:p w:rsidR="00EC22D3" w:rsidRPr="00DA11F1" w:rsidRDefault="00EC22D3" w:rsidP="00EC22D3">
      <w:pPr>
        <w:pStyle w:val="TableTitle11pt"/>
      </w:pPr>
      <w:r>
        <w:t>Table 5</w:t>
      </w:r>
      <w:r>
        <w:br/>
        <w:t xml:space="preserve">Property and business service </w:t>
      </w:r>
      <w:r w:rsidR="00B60D30">
        <w:t xml:space="preserve">labour productivity </w:t>
      </w:r>
      <w:r>
        <w:t>growth – New Zealand</w:t>
      </w:r>
    </w:p>
    <w:p w:rsidR="00EC22D3" w:rsidRDefault="0090212B" w:rsidP="00EC22D3">
      <w:r w:rsidRPr="0090212B">
        <w:rPr>
          <w:noProof/>
          <w:lang w:eastAsia="en-NZ"/>
        </w:rPr>
        <w:drawing>
          <wp:inline distT="0" distB="0" distL="0" distR="0">
            <wp:extent cx="4905375" cy="657225"/>
            <wp:effectExtent l="19050" t="0" r="9525" b="0"/>
            <wp:docPr id="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4905375" cy="657225"/>
                    </a:xfrm>
                    <a:prstGeom prst="rect">
                      <a:avLst/>
                    </a:prstGeom>
                    <a:noFill/>
                    <a:ln w="9525">
                      <a:noFill/>
                      <a:miter lim="800000"/>
                      <a:headEnd/>
                      <a:tailEnd/>
                    </a:ln>
                  </pic:spPr>
                </pic:pic>
              </a:graphicData>
            </a:graphic>
          </wp:inline>
        </w:drawing>
      </w:r>
    </w:p>
    <w:p w:rsidR="00B54643" w:rsidRDefault="00B54643" w:rsidP="00B54643">
      <w:r w:rsidRPr="00B54643">
        <w:rPr>
          <w:b/>
        </w:rPr>
        <w:t>Source</w:t>
      </w:r>
      <w:r>
        <w:t>: Statistics NZ</w:t>
      </w:r>
    </w:p>
    <w:p w:rsidR="00EC22D3" w:rsidRDefault="00EC22D3" w:rsidP="00B60D30">
      <w:pPr>
        <w:pStyle w:val="TableTitle11pt"/>
      </w:pPr>
      <w:r>
        <w:t>Table 6</w:t>
      </w:r>
      <w:r>
        <w:br/>
        <w:t>Property and business services labour productivity growth</w:t>
      </w:r>
      <w:r w:rsidR="00B60D30">
        <w:t xml:space="preserve"> – Australia </w:t>
      </w:r>
    </w:p>
    <w:p w:rsidR="00EC22D3" w:rsidRDefault="0090212B" w:rsidP="00EC22D3">
      <w:r w:rsidRPr="0090212B">
        <w:rPr>
          <w:noProof/>
          <w:lang w:eastAsia="en-NZ"/>
        </w:rPr>
        <w:drawing>
          <wp:inline distT="0" distB="0" distL="0" distR="0">
            <wp:extent cx="4905375" cy="819150"/>
            <wp:effectExtent l="19050" t="0" r="9525" b="0"/>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4905375" cy="819150"/>
                    </a:xfrm>
                    <a:prstGeom prst="rect">
                      <a:avLst/>
                    </a:prstGeom>
                    <a:noFill/>
                    <a:ln w="9525">
                      <a:noFill/>
                      <a:miter lim="800000"/>
                      <a:headEnd/>
                      <a:tailEnd/>
                    </a:ln>
                  </pic:spPr>
                </pic:pic>
              </a:graphicData>
            </a:graphic>
          </wp:inline>
        </w:drawing>
      </w:r>
    </w:p>
    <w:p w:rsidR="00B54643" w:rsidRDefault="00B54643" w:rsidP="00B54643">
      <w:r w:rsidRPr="00B54643">
        <w:rPr>
          <w:b/>
        </w:rPr>
        <w:t>Source</w:t>
      </w:r>
      <w:r>
        <w:t>: Australian Bureau of Statistics</w:t>
      </w:r>
    </w:p>
    <w:p w:rsidR="007C684A" w:rsidRDefault="007C684A" w:rsidP="007C684A">
      <w:pPr>
        <w:pStyle w:val="Heading4"/>
      </w:pPr>
      <w:r>
        <w:t>4.3 The non-measured sector</w:t>
      </w:r>
    </w:p>
    <w:p w:rsidR="00EC22D3" w:rsidRDefault="00EF1E8C" w:rsidP="00EC22D3">
      <w:r>
        <w:t>The health and education industries are currently excluded from Statistics NZ’s productivity statistics</w:t>
      </w:r>
      <w:r w:rsidR="009A3AD6">
        <w:t xml:space="preserve">. </w:t>
      </w:r>
      <w:r w:rsidR="007C684A" w:rsidRPr="007C684A">
        <w:t>More complete volume estimates of output f</w:t>
      </w:r>
      <w:r w:rsidR="007F4E56">
        <w:t>or</w:t>
      </w:r>
      <w:r>
        <w:t xml:space="preserve"> the</w:t>
      </w:r>
      <w:r w:rsidR="007C684A" w:rsidRPr="007C684A">
        <w:t xml:space="preserve"> health and education </w:t>
      </w:r>
      <w:r>
        <w:t xml:space="preserve">industries </w:t>
      </w:r>
      <w:r w:rsidR="007C684A" w:rsidRPr="007C684A">
        <w:t>are scheduled to be included in the annual national accounts in late 2012/early 2013. Productivity estimates</w:t>
      </w:r>
      <w:r w:rsidR="005A532B">
        <w:t xml:space="preserve"> for these industries</w:t>
      </w:r>
      <w:r w:rsidR="007C684A" w:rsidRPr="007C684A">
        <w:t xml:space="preserve"> will be compiled </w:t>
      </w:r>
      <w:r>
        <w:t>once the national accounts are updated</w:t>
      </w:r>
      <w:r w:rsidR="009A3AD6" w:rsidRPr="007C684A">
        <w:t xml:space="preserve">. </w:t>
      </w:r>
      <w:r w:rsidR="007C684A" w:rsidRPr="007C684A">
        <w:t>Updated estimates of output will better capture the volume of economic activity in these hard</w:t>
      </w:r>
      <w:r w:rsidR="00227284">
        <w:t>-</w:t>
      </w:r>
      <w:r w:rsidR="007C684A" w:rsidRPr="007C684A">
        <w:t>to</w:t>
      </w:r>
      <w:r w:rsidR="00227284">
        <w:t>-</w:t>
      </w:r>
      <w:r w:rsidR="007C684A" w:rsidRPr="007C684A">
        <w:t>measure industries.</w:t>
      </w:r>
      <w:r w:rsidR="00763679">
        <w:t xml:space="preserve"> There are no plans to develop productivity measures for </w:t>
      </w:r>
      <w:r w:rsidR="005843EA">
        <w:t>the ‘</w:t>
      </w:r>
      <w:r w:rsidR="00763679">
        <w:t>central and local government administration and defence</w:t>
      </w:r>
      <w:r w:rsidR="005843EA">
        <w:t>’ industr</w:t>
      </w:r>
      <w:r w:rsidR="0090212B">
        <w:t>ies</w:t>
      </w:r>
      <w:r w:rsidR="005843EA">
        <w:t xml:space="preserve">. </w:t>
      </w:r>
    </w:p>
    <w:p w:rsidR="007C684A" w:rsidRDefault="007C684A" w:rsidP="007C684A">
      <w:pPr>
        <w:pStyle w:val="Heading4"/>
      </w:pPr>
      <w:r>
        <w:t xml:space="preserve">4.4 Outstanding methodological issues – </w:t>
      </w:r>
      <w:r w:rsidR="0090212B">
        <w:t>Financial Intermediation Services Indirectly Measured</w:t>
      </w:r>
      <w:r w:rsidR="007F4E56">
        <w:t xml:space="preserve"> (FISIM)</w:t>
      </w:r>
      <w:r w:rsidR="0090212B">
        <w:t xml:space="preserve"> </w:t>
      </w:r>
      <w:r>
        <w:t>and the 2008 S</w:t>
      </w:r>
      <w:r w:rsidR="00B2039E">
        <w:t xml:space="preserve">ystem of </w:t>
      </w:r>
      <w:r>
        <w:t>N</w:t>
      </w:r>
      <w:r w:rsidR="00B2039E">
        <w:t xml:space="preserve">ational </w:t>
      </w:r>
      <w:r>
        <w:t>A</w:t>
      </w:r>
      <w:r w:rsidR="00B2039E">
        <w:t>ccounts</w:t>
      </w:r>
    </w:p>
    <w:p w:rsidR="007C684A" w:rsidRDefault="007C684A" w:rsidP="007C684A">
      <w:r w:rsidRPr="007F4E56">
        <w:t xml:space="preserve">The allocation of FISIM to </w:t>
      </w:r>
      <w:r w:rsidR="007F4E56" w:rsidRPr="007F4E56">
        <w:t>final consumption</w:t>
      </w:r>
      <w:r w:rsidR="00A67483">
        <w:t>, exports, and intermediate use</w:t>
      </w:r>
      <w:r w:rsidRPr="007F4E56">
        <w:t xml:space="preserve"> will be complete by the end of 2012.</w:t>
      </w:r>
      <w:r>
        <w:t xml:space="preserve"> This will bring the Statistics NZ GDP estimates more in line with that of our Australian counterparts.</w:t>
      </w:r>
    </w:p>
    <w:p w:rsidR="00EC22D3" w:rsidRDefault="0064708D" w:rsidP="007C684A">
      <w:r>
        <w:t>Statistics NZ</w:t>
      </w:r>
      <w:r w:rsidR="001B48BE">
        <w:t xml:space="preserve"> is about to commence a two year work programme to </w:t>
      </w:r>
      <w:r w:rsidR="007C684A">
        <w:t>updat</w:t>
      </w:r>
      <w:r w:rsidR="001B48BE">
        <w:t>e</w:t>
      </w:r>
      <w:r>
        <w:t xml:space="preserve"> its </w:t>
      </w:r>
      <w:r w:rsidR="007C684A">
        <w:t>national accounts to adhere to the latest international standards</w:t>
      </w:r>
      <w:r w:rsidR="001B48BE">
        <w:t>. This involves the introduction of</w:t>
      </w:r>
      <w:r w:rsidR="007C684A">
        <w:t xml:space="preserve"> the </w:t>
      </w:r>
      <w:r w:rsidR="007C684A" w:rsidRPr="00BC77CB">
        <w:rPr>
          <w:i/>
        </w:rPr>
        <w:t>Balance of Payments manual version 6</w:t>
      </w:r>
      <w:r w:rsidR="007C684A">
        <w:t xml:space="preserve"> and </w:t>
      </w:r>
      <w:r w:rsidR="00E77802">
        <w:t xml:space="preserve">the </w:t>
      </w:r>
      <w:r w:rsidR="007C684A" w:rsidRPr="00BC77CB">
        <w:rPr>
          <w:i/>
        </w:rPr>
        <w:t>2008 System of National Accounts</w:t>
      </w:r>
      <w:r w:rsidR="009A3AD6">
        <w:t xml:space="preserve">. </w:t>
      </w:r>
      <w:r w:rsidR="007C684A">
        <w:t xml:space="preserve">This work is required to meet the OECD guidelines for </w:t>
      </w:r>
      <w:r w:rsidR="00E1071F">
        <w:t>national</w:t>
      </w:r>
      <w:r w:rsidR="007C684A">
        <w:t xml:space="preserve"> accounts of member nations.  </w:t>
      </w:r>
    </w:p>
    <w:p w:rsidR="00320A4B" w:rsidRDefault="00320A4B" w:rsidP="00320A4B">
      <w:pPr>
        <w:pStyle w:val="Heading3"/>
      </w:pPr>
      <w:r>
        <w:t xml:space="preserve">5 Capital measurement and multifactor productivity </w:t>
      </w:r>
    </w:p>
    <w:p w:rsidR="00735B41" w:rsidRDefault="00320A4B" w:rsidP="001D032B">
      <w:pPr>
        <w:pStyle w:val="ListBullet"/>
      </w:pPr>
      <w:r w:rsidRPr="00320A4B">
        <w:t>Analysis of productivity performance should ideally go beyond partial productivity measures</w:t>
      </w:r>
      <w:r w:rsidR="009A3AD6" w:rsidRPr="00320A4B">
        <w:t xml:space="preserve">. </w:t>
      </w:r>
      <w:r w:rsidRPr="00320A4B">
        <w:t>Tables 3 and 4 included comparisons of New Zealand and Australian capital input, capital productivity, total input, multifactor productivity</w:t>
      </w:r>
      <w:r w:rsidR="0028144F">
        <w:t>,</w:t>
      </w:r>
      <w:r w:rsidRPr="00320A4B">
        <w:t xml:space="preserve"> and capital-to-labour changes for both broad and narrow definitions of official productivity statistics.  </w:t>
      </w:r>
    </w:p>
    <w:p w:rsidR="002955BE" w:rsidRDefault="00320A4B" w:rsidP="001D032B">
      <w:pPr>
        <w:pStyle w:val="ListBullet"/>
      </w:pPr>
      <w:r w:rsidRPr="00320A4B">
        <w:lastRenderedPageBreak/>
        <w:t xml:space="preserve">Table </w:t>
      </w:r>
      <w:r w:rsidR="008D225C">
        <w:t>7</w:t>
      </w:r>
      <w:r w:rsidRPr="00320A4B">
        <w:t xml:space="preserve"> provides </w:t>
      </w:r>
      <w:r w:rsidR="00735B41">
        <w:t>compares</w:t>
      </w:r>
      <w:r w:rsidRPr="00320A4B">
        <w:t xml:space="preserve"> </w:t>
      </w:r>
      <w:r w:rsidR="00735B41">
        <w:t xml:space="preserve">New Zealand’s </w:t>
      </w:r>
      <w:r w:rsidRPr="00320A4B">
        <w:t xml:space="preserve">MFP growth rates </w:t>
      </w:r>
      <w:r w:rsidR="00B44971">
        <w:t>at the economy-wide and measured sector level</w:t>
      </w:r>
      <w:r w:rsidR="00735B41">
        <w:t xml:space="preserve"> with Australia’s</w:t>
      </w:r>
      <w:r w:rsidR="009A3AD6">
        <w:t xml:space="preserve">. </w:t>
      </w:r>
      <w:r w:rsidR="0028144F">
        <w:t>N</w:t>
      </w:r>
      <w:r w:rsidRPr="00320A4B">
        <w:t>ote that OECD capital services estimates for Australi</w:t>
      </w:r>
      <w:r w:rsidR="0028144F">
        <w:t>a are only available up to 2009</w:t>
      </w:r>
      <w:r w:rsidRPr="00320A4B">
        <w:t xml:space="preserve">.  </w:t>
      </w:r>
    </w:p>
    <w:p w:rsidR="008976B0" w:rsidRPr="008976B0" w:rsidRDefault="00320A4B" w:rsidP="008976B0">
      <w:pPr>
        <w:pStyle w:val="TableTitle11pt"/>
      </w:pPr>
      <w:r w:rsidRPr="008976B0">
        <w:t>Table 7</w:t>
      </w:r>
    </w:p>
    <w:p w:rsidR="00320A4B" w:rsidRDefault="00320A4B" w:rsidP="00320A4B">
      <w:pPr>
        <w:pStyle w:val="TableTitle11pt"/>
      </w:pPr>
      <w:r>
        <w:t>Multifactor productivity growth (average annual growth) 1996–2009</w:t>
      </w:r>
      <w:r w:rsidR="007F4E56" w:rsidRPr="007F4E56">
        <w:rPr>
          <w:b w:val="0"/>
          <w:vertAlign w:val="superscript"/>
        </w:rPr>
        <w:t>(1)</w:t>
      </w:r>
      <w:r>
        <w:t xml:space="preserve"> </w:t>
      </w:r>
      <w:r w:rsidR="007F4E56" w:rsidRPr="007F4E56">
        <w:rPr>
          <w:noProof/>
          <w:lang w:val="en-NZ" w:eastAsia="en-NZ"/>
        </w:rPr>
        <w:drawing>
          <wp:inline distT="0" distB="0" distL="0" distR="0">
            <wp:extent cx="5429250" cy="1809750"/>
            <wp:effectExtent l="19050" t="0" r="0" b="0"/>
            <wp:docPr id="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5429250" cy="1809750"/>
                    </a:xfrm>
                    <a:prstGeom prst="rect">
                      <a:avLst/>
                    </a:prstGeom>
                    <a:noFill/>
                    <a:ln w="9525">
                      <a:noFill/>
                      <a:miter lim="800000"/>
                      <a:headEnd/>
                      <a:tailEnd/>
                    </a:ln>
                  </pic:spPr>
                </pic:pic>
              </a:graphicData>
            </a:graphic>
          </wp:inline>
        </w:drawing>
      </w:r>
    </w:p>
    <w:p w:rsidR="002E45BE" w:rsidRDefault="00320A4B" w:rsidP="00EC22D3">
      <w:r w:rsidRPr="00320A4B">
        <w:t xml:space="preserve">While the measured sector comparison shows identical growth for MFP from 1996 to 2009 between Australia and New Zealand, the OECD total economy measure </w:t>
      </w:r>
      <w:r w:rsidR="00FB03E1">
        <w:t>tells</w:t>
      </w:r>
      <w:r w:rsidR="00FB03E1" w:rsidRPr="00320A4B">
        <w:t xml:space="preserve"> </w:t>
      </w:r>
      <w:r w:rsidRPr="00320A4B">
        <w:t>a different story.</w:t>
      </w:r>
    </w:p>
    <w:p w:rsidR="00AE3245" w:rsidRDefault="00AE3245" w:rsidP="00EC22D3">
      <w:r>
        <w:t>In New Zealand, t</w:t>
      </w:r>
      <w:r w:rsidR="00320A4B" w:rsidRPr="00320A4B">
        <w:t>he implied growth in capital services from the non-measured sector is large for New Zealand (because of the difference between the 3.3</w:t>
      </w:r>
      <w:r w:rsidR="002E45BE">
        <w:t xml:space="preserve"> percent</w:t>
      </w:r>
      <w:r w:rsidR="00320A4B" w:rsidRPr="00320A4B">
        <w:t xml:space="preserve"> per </w:t>
      </w:r>
      <w:r w:rsidR="008D0407">
        <w:t>year</w:t>
      </w:r>
      <w:r w:rsidR="008D0407" w:rsidRPr="00320A4B">
        <w:t xml:space="preserve"> </w:t>
      </w:r>
      <w:r w:rsidR="00320A4B" w:rsidRPr="00320A4B">
        <w:t>growth for the measured sector and 4.6</w:t>
      </w:r>
      <w:r>
        <w:t xml:space="preserve"> percent per year</w:t>
      </w:r>
      <w:r w:rsidR="00320A4B" w:rsidRPr="00320A4B">
        <w:t xml:space="preserve"> for the total economy).  </w:t>
      </w:r>
    </w:p>
    <w:p w:rsidR="002955BE" w:rsidRDefault="00320A4B" w:rsidP="00EC22D3">
      <w:r w:rsidRPr="00320A4B">
        <w:t>The story in Australia is the opposite</w:t>
      </w:r>
      <w:r w:rsidR="00AE3245">
        <w:t xml:space="preserve"> – </w:t>
      </w:r>
      <w:r w:rsidRPr="00320A4B">
        <w:t>implied non-measured sector capital services growth is slower than that of the measured sector</w:t>
      </w:r>
      <w:r w:rsidR="009A3AD6" w:rsidRPr="00320A4B">
        <w:t xml:space="preserve">. </w:t>
      </w:r>
      <w:r w:rsidRPr="00320A4B">
        <w:t xml:space="preserve">If this analysis is extended to 2011 for New Zealand, the difference is even greater compared </w:t>
      </w:r>
      <w:r w:rsidR="000F7724">
        <w:t>with</w:t>
      </w:r>
      <w:r w:rsidR="000F7724" w:rsidRPr="00320A4B">
        <w:t xml:space="preserve"> </w:t>
      </w:r>
      <w:r w:rsidRPr="00320A4B">
        <w:t>the OECD</w:t>
      </w:r>
      <w:r w:rsidR="000F7724">
        <w:t xml:space="preserve"> estimates</w:t>
      </w:r>
      <w:r w:rsidR="00A2269D">
        <w:t xml:space="preserve">. However, as discussed below, </w:t>
      </w:r>
      <w:r w:rsidR="000F7724">
        <w:t xml:space="preserve">differences in how </w:t>
      </w:r>
      <w:r w:rsidR="00A2269D">
        <w:t xml:space="preserve">the OECD </w:t>
      </w:r>
      <w:r w:rsidR="000F7724">
        <w:t>measures</w:t>
      </w:r>
      <w:r w:rsidR="00A2269D">
        <w:t xml:space="preserve"> capital can explain some of this </w:t>
      </w:r>
      <w:r w:rsidR="000F7724">
        <w:t>gap</w:t>
      </w:r>
      <w:r w:rsidR="00A2269D">
        <w:t xml:space="preserve">.    </w:t>
      </w:r>
    </w:p>
    <w:p w:rsidR="00B4060F" w:rsidRDefault="00466EF6" w:rsidP="00EC22D3">
      <w:r w:rsidRPr="00345B43">
        <w:t xml:space="preserve">One </w:t>
      </w:r>
      <w:r w:rsidR="0028144F" w:rsidRPr="00345B43">
        <w:t xml:space="preserve">motivation behind understanding differences in capital measurement is the </w:t>
      </w:r>
      <w:r w:rsidR="007D741F" w:rsidRPr="00345B43">
        <w:t xml:space="preserve">question of whether </w:t>
      </w:r>
      <w:r w:rsidR="0028144F" w:rsidRPr="00345B43">
        <w:t xml:space="preserve">New Zealand is ‘capital shallow’ </w:t>
      </w:r>
      <w:r w:rsidR="00EF6A23" w:rsidRPr="00345B43">
        <w:t xml:space="preserve">in the sense that it has </w:t>
      </w:r>
      <w:r w:rsidR="0028144F" w:rsidRPr="00345B43">
        <w:t xml:space="preserve">a relatively low capital per worker </w:t>
      </w:r>
      <w:r w:rsidR="00EF6A23" w:rsidRPr="00345B43">
        <w:t xml:space="preserve">ratio </w:t>
      </w:r>
      <w:r w:rsidR="007D741F" w:rsidRPr="00345B43">
        <w:t>(i.e.,</w:t>
      </w:r>
      <w:r w:rsidR="0028144F" w:rsidRPr="00345B43">
        <w:t xml:space="preserve"> low capital intensity).  </w:t>
      </w:r>
    </w:p>
    <w:p w:rsidR="00B42455" w:rsidRDefault="0028144F" w:rsidP="00EC22D3">
      <w:r w:rsidRPr="00345B43">
        <w:t xml:space="preserve">Over the last </w:t>
      </w:r>
      <w:r w:rsidR="009A3AD6" w:rsidRPr="00345B43">
        <w:t>decade,</w:t>
      </w:r>
      <w:r w:rsidRPr="00345B43">
        <w:t xml:space="preserve"> there have been a number of studies investigating New Zealand’s capital intensity</w:t>
      </w:r>
      <w:r w:rsidR="009A3AD6" w:rsidRPr="00345B43">
        <w:t xml:space="preserve">. </w:t>
      </w:r>
      <w:r w:rsidRPr="00345B43">
        <w:t xml:space="preserve">The </w:t>
      </w:r>
      <w:r w:rsidR="00BA17B7">
        <w:t>International Monetary Fund (</w:t>
      </w:r>
      <w:r w:rsidRPr="00345B43">
        <w:t>IMF</w:t>
      </w:r>
      <w:r w:rsidR="00C378F8">
        <w:t xml:space="preserve">, </w:t>
      </w:r>
      <w:r w:rsidRPr="00345B43">
        <w:t xml:space="preserve">2002) examined </w:t>
      </w:r>
      <w:r w:rsidR="00B4060F">
        <w:t>trans</w:t>
      </w:r>
      <w:r w:rsidRPr="00345B43">
        <w:t xml:space="preserve">-Tasman productivity and capital intensity levels at an industry </w:t>
      </w:r>
      <w:r w:rsidR="009E58B4">
        <w:t>level</w:t>
      </w:r>
      <w:r w:rsidR="009A3AD6" w:rsidRPr="00345B43">
        <w:t xml:space="preserve">. </w:t>
      </w:r>
      <w:r w:rsidR="00A9051F" w:rsidRPr="00345B43">
        <w:t xml:space="preserve">Hall </w:t>
      </w:r>
      <w:r w:rsidR="00345B43" w:rsidRPr="00345B43">
        <w:t xml:space="preserve">and Scobie </w:t>
      </w:r>
      <w:r w:rsidR="00A9051F" w:rsidRPr="00345B43">
        <w:t xml:space="preserve">(2005) confirmed the IMF findings </w:t>
      </w:r>
      <w:r w:rsidR="00AF09D7" w:rsidRPr="00345B43">
        <w:t xml:space="preserve">of </w:t>
      </w:r>
      <w:r w:rsidR="008D225C">
        <w:t xml:space="preserve">relatively </w:t>
      </w:r>
      <w:r w:rsidR="00AF09D7" w:rsidRPr="00345B43">
        <w:t>low capital intensity</w:t>
      </w:r>
      <w:r w:rsidR="00765C57">
        <w:t xml:space="preserve"> in New Zealand’s economy,</w:t>
      </w:r>
      <w:r w:rsidR="00AF09D7" w:rsidRPr="00345B43">
        <w:t xml:space="preserve"> </w:t>
      </w:r>
      <w:r w:rsidR="00A9051F" w:rsidRPr="00345B43">
        <w:t>but noted</w:t>
      </w:r>
      <w:r w:rsidR="00765C57">
        <w:t xml:space="preserve"> their results were affected by</w:t>
      </w:r>
      <w:r w:rsidR="00A9051F" w:rsidRPr="00345B43">
        <w:t xml:space="preserve"> the definition of capital (particularly the role of land).  </w:t>
      </w:r>
    </w:p>
    <w:p w:rsidR="002955BE" w:rsidRDefault="00B42455" w:rsidP="00EC22D3">
      <w:r>
        <w:t>A United Kingdom</w:t>
      </w:r>
      <w:r w:rsidR="00B7696D">
        <w:t xml:space="preserve"> (UK)</w:t>
      </w:r>
      <w:r>
        <w:t xml:space="preserve"> study (</w:t>
      </w:r>
      <w:r w:rsidR="00EF6A23" w:rsidRPr="00345B43">
        <w:t>Mason and Osborne</w:t>
      </w:r>
      <w:r>
        <w:t>,</w:t>
      </w:r>
      <w:r w:rsidRPr="00345B43" w:rsidDel="00B42455">
        <w:t xml:space="preserve"> </w:t>
      </w:r>
      <w:r w:rsidR="00EF6A23" w:rsidRPr="00345B43">
        <w:t>2007) compared New Zealand and UK capital intensity for various industries</w:t>
      </w:r>
      <w:r w:rsidR="009A3AD6" w:rsidRPr="00345B43">
        <w:t xml:space="preserve">. </w:t>
      </w:r>
      <w:r w:rsidR="00A9051F" w:rsidRPr="00345B43">
        <w:t xml:space="preserve">Largely drawing on 2002 estimates of New Zealand’s </w:t>
      </w:r>
      <w:r w:rsidR="00EF6A23" w:rsidRPr="00345B43">
        <w:t xml:space="preserve">aggregate </w:t>
      </w:r>
      <w:r w:rsidR="00A9051F" w:rsidRPr="00345B43">
        <w:t>capital intensity made by Schreyer (2005), Treasury</w:t>
      </w:r>
      <w:r w:rsidR="00EF6A23" w:rsidRPr="00345B43">
        <w:t xml:space="preserve"> (2008) </w:t>
      </w:r>
      <w:r w:rsidR="00A9051F" w:rsidRPr="00345B43">
        <w:t>further investigat</w:t>
      </w:r>
      <w:r w:rsidR="00AF09D7" w:rsidRPr="00345B43">
        <w:t>ed</w:t>
      </w:r>
      <w:r w:rsidR="00A9051F" w:rsidRPr="00345B43">
        <w:t xml:space="preserve"> the capital shallowness and its determinants, including </w:t>
      </w:r>
      <w:r w:rsidR="00950F58">
        <w:t>how it affects multifactor productivity</w:t>
      </w:r>
      <w:r w:rsidR="00902929">
        <w:t xml:space="preserve"> (MFP)</w:t>
      </w:r>
      <w:r w:rsidR="009A3AD6" w:rsidRPr="00345B43">
        <w:t xml:space="preserve">. </w:t>
      </w:r>
      <w:r w:rsidR="00902929">
        <w:t xml:space="preserve">Measures of MFP and capital intensity are problematic. </w:t>
      </w:r>
      <w:proofErr w:type="spellStart"/>
      <w:r w:rsidR="00EF6A23" w:rsidRPr="00345B43">
        <w:t>Guillemette</w:t>
      </w:r>
      <w:proofErr w:type="spellEnd"/>
      <w:r w:rsidR="00EF6A23" w:rsidRPr="00345B43">
        <w:t xml:space="preserve"> (2009) notes that the decomposition of relative labour productivity into MFP and capital intensity </w:t>
      </w:r>
      <w:r w:rsidR="00902929">
        <w:t>is difficult</w:t>
      </w:r>
      <w:r w:rsidR="00EF6A23" w:rsidRPr="00345B43">
        <w:t>, in part because of the difficulty in obtaining reliable and comparable capital stock data.</w:t>
      </w:r>
      <w:r w:rsidR="00EF6A23">
        <w:t xml:space="preserve"> </w:t>
      </w:r>
      <w:r w:rsidR="00A9051F">
        <w:t xml:space="preserve"> </w:t>
      </w:r>
    </w:p>
    <w:p w:rsidR="00320A4B" w:rsidRDefault="00320A4B" w:rsidP="00320A4B">
      <w:pPr>
        <w:pStyle w:val="Heading4"/>
      </w:pPr>
      <w:r>
        <w:t>5.1 The measurement of capital in New Zealand productivity statistics</w:t>
      </w:r>
    </w:p>
    <w:p w:rsidR="00320A4B" w:rsidRDefault="00320A4B" w:rsidP="00320A4B">
      <w:r>
        <w:t xml:space="preserve">In practice, it is not the actual physical stock of capital that is considered </w:t>
      </w:r>
      <w:r w:rsidR="009A3AD6">
        <w:t>the</w:t>
      </w:r>
      <w:r>
        <w:t xml:space="preserve"> input into the productive process, rather the ongoing flow of capital </w:t>
      </w:r>
      <w:r w:rsidR="009A3AD6">
        <w:t>services that</w:t>
      </w:r>
      <w:r>
        <w:t xml:space="preserve"> capital stock generates. </w:t>
      </w:r>
      <w:r w:rsidR="009349F9">
        <w:t>Capital services</w:t>
      </w:r>
      <w:r w:rsidR="00415766">
        <w:t xml:space="preserve"> are calculated using the ‘productive capital stock’</w:t>
      </w:r>
      <w:r w:rsidR="009349F9">
        <w:t xml:space="preserve"> as a starting point</w:t>
      </w:r>
      <w:r w:rsidR="00415766">
        <w:t>. This is t</w:t>
      </w:r>
      <w:r>
        <w:t xml:space="preserve">he </w:t>
      </w:r>
      <w:r w:rsidRPr="00E328C3">
        <w:t xml:space="preserve">stock of a particular type of assets surviving from past periods, </w:t>
      </w:r>
      <w:r w:rsidR="00415766" w:rsidRPr="00E328C3">
        <w:t xml:space="preserve">which is </w:t>
      </w:r>
      <w:r w:rsidRPr="00E328C3">
        <w:t>corrected for its loss in productive efficiency</w:t>
      </w:r>
      <w:r w:rsidR="009A3AD6" w:rsidRPr="00E328C3">
        <w:t xml:space="preserve">. </w:t>
      </w:r>
      <w:r w:rsidR="00EB12B6" w:rsidRPr="00E328C3">
        <w:t>It is assumed that</w:t>
      </w:r>
      <w:r w:rsidRPr="00E328C3">
        <w:t xml:space="preserve"> the flow of capital services – the actual capital input into production – is proportional</w:t>
      </w:r>
      <w:r>
        <w:t xml:space="preserve"> to the productive stock of an asset class (O</w:t>
      </w:r>
      <w:r w:rsidR="00A87459">
        <w:t xml:space="preserve">rganisation of Economic </w:t>
      </w:r>
      <w:r>
        <w:t>C</w:t>
      </w:r>
      <w:r w:rsidR="00A87459">
        <w:t xml:space="preserve">o-operation and </w:t>
      </w:r>
      <w:r>
        <w:t>D</w:t>
      </w:r>
      <w:r w:rsidR="00A87459">
        <w:t>evelopment</w:t>
      </w:r>
      <w:r>
        <w:t xml:space="preserve"> 2009, p.38).</w:t>
      </w:r>
    </w:p>
    <w:p w:rsidR="00EB5C87" w:rsidRDefault="00320A4B" w:rsidP="00320A4B">
      <w:r>
        <w:t>Statistics NZ uses a perpetual inventory method (PIM) to estimate stocks of a range of capital assets</w:t>
      </w:r>
      <w:r w:rsidR="009A3AD6">
        <w:t xml:space="preserve">. </w:t>
      </w:r>
      <w:r w:rsidR="005539FD">
        <w:t>C</w:t>
      </w:r>
      <w:r>
        <w:t xml:space="preserve">apital input series for the ‘measured sector’ include 24 of the 26 produced assets </w:t>
      </w:r>
      <w:r>
        <w:lastRenderedPageBreak/>
        <w:t>accumulated in the PIM</w:t>
      </w:r>
      <w:r>
        <w:rPr>
          <w:rStyle w:val="FootnoteReference"/>
        </w:rPr>
        <w:footnoteReference w:id="9"/>
      </w:r>
      <w:r>
        <w:t xml:space="preserve">. In addition to these assets, capital services are estimated for various land types (agricultural and forestry; commercial; industrial; mining; residential; and other non-agricultural), and inventories (which includes livestock and standing timber).  </w:t>
      </w:r>
    </w:p>
    <w:p w:rsidR="002955BE" w:rsidRDefault="00320A4B" w:rsidP="00320A4B">
      <w:r>
        <w:t xml:space="preserve">The PIM is used to derive an estimate of the capital stock by accumulating past purchases of assets over their useful lives. </w:t>
      </w:r>
      <w:r w:rsidR="009A3AD6">
        <w:t xml:space="preserve">Each asset type has an average expected useful life based on a distribution about this life and a pattern of (hyperbolic) efficiency decline. </w:t>
      </w:r>
      <w:r>
        <w:t>These parameters and gross fixed capital formation are used to estimate productive capital</w:t>
      </w:r>
      <w:r w:rsidR="005539FD">
        <w:t xml:space="preserve"> stock</w:t>
      </w:r>
      <w:r w:rsidR="00F6321D">
        <w:t xml:space="preserve"> by asset type</w:t>
      </w:r>
      <w:r>
        <w:t>.</w:t>
      </w:r>
    </w:p>
    <w:p w:rsidR="00320A4B" w:rsidRDefault="00320A4B" w:rsidP="00320A4B">
      <w:r>
        <w:t>The capital services input index measures the flow of capital services generated by the use of the stock of productive capital assets for a given March year</w:t>
      </w:r>
      <w:r w:rsidR="009A3AD6">
        <w:t xml:space="preserve">. </w:t>
      </w:r>
      <w:r>
        <w:t>Because many different types of capital goods are used in production, an aggregate measure of capital services must be constructed. Capital service flows are aggregated to industry level using a Törnqvist index</w:t>
      </w:r>
      <w:r w:rsidR="005F636F">
        <w:t xml:space="preserve">. </w:t>
      </w:r>
      <w:r w:rsidR="005F636F" w:rsidDel="005F636F">
        <w:t xml:space="preserve"> </w:t>
      </w:r>
      <w:r w:rsidR="005F636F">
        <w:t>W</w:t>
      </w:r>
      <w:r>
        <w:t xml:space="preserve">eights </w:t>
      </w:r>
      <w:r w:rsidR="005F636F">
        <w:t xml:space="preserve">are </w:t>
      </w:r>
      <w:r>
        <w:t>based on asset-specific rental prices (user costs)</w:t>
      </w:r>
      <w:r w:rsidR="009A3AD6">
        <w:t xml:space="preserve">. </w:t>
      </w:r>
      <w:r>
        <w:t>User costs represent the implied cost to the user of each type of capital</w:t>
      </w:r>
      <w:r w:rsidR="009A3AD6">
        <w:t xml:space="preserve">. </w:t>
      </w:r>
      <w:r>
        <w:t xml:space="preserve">The industry-level capital service flows are aggregated to the measured sector using industry shares of the measured sector current-price capital income as weights. </w:t>
      </w:r>
    </w:p>
    <w:p w:rsidR="002955BE" w:rsidRDefault="00320A4B" w:rsidP="00320A4B">
      <w:r>
        <w:t>No allowance is made for differences (across industry and time) in asset capacity utilisation</w:t>
      </w:r>
      <w:r w:rsidR="005539FD">
        <w:rPr>
          <w:rStyle w:val="FootnoteReference"/>
        </w:rPr>
        <w:footnoteReference w:id="10"/>
      </w:r>
      <w:r>
        <w:t xml:space="preserve"> rates</w:t>
      </w:r>
      <w:r w:rsidR="009A3AD6">
        <w:t xml:space="preserve">. </w:t>
      </w:r>
      <w:r>
        <w:t>Capital services are assumed to be proportional to the capital stock</w:t>
      </w:r>
      <w:r w:rsidR="00D710E4">
        <w:t xml:space="preserve">. </w:t>
      </w:r>
      <w:r>
        <w:t xml:space="preserve"> </w:t>
      </w:r>
      <w:r w:rsidR="00D710E4">
        <w:t>T</w:t>
      </w:r>
      <w:r>
        <w:t xml:space="preserve">herefore swings in the rates of capacity utilisation are </w:t>
      </w:r>
      <w:r w:rsidR="001B53C9">
        <w:t>reflected in measures of multifactor productivity</w:t>
      </w:r>
      <w:r>
        <w:t xml:space="preserve"> (MFP)</w:t>
      </w:r>
      <w:r>
        <w:rPr>
          <w:rStyle w:val="FootnoteReference"/>
        </w:rPr>
        <w:footnoteReference w:id="11"/>
      </w:r>
      <w:r>
        <w:t>.</w:t>
      </w:r>
    </w:p>
    <w:p w:rsidR="00320A4B" w:rsidRDefault="00320A4B" w:rsidP="00320A4B">
      <w:pPr>
        <w:pStyle w:val="Heading4"/>
      </w:pPr>
      <w:r>
        <w:t xml:space="preserve">5.2 The </w:t>
      </w:r>
      <w:r w:rsidR="0028144F">
        <w:t xml:space="preserve">measurement of capital in </w:t>
      </w:r>
      <w:r>
        <w:t xml:space="preserve">OECD </w:t>
      </w:r>
      <w:r w:rsidR="00AF09D7">
        <w:t>productivity statist</w:t>
      </w:r>
      <w:r w:rsidR="0028144F">
        <w:t>ics</w:t>
      </w:r>
    </w:p>
    <w:p w:rsidR="00320A4B" w:rsidRDefault="00320A4B" w:rsidP="00320A4B">
      <w:r>
        <w:t xml:space="preserve">When looking at </w:t>
      </w:r>
      <w:r w:rsidR="005E20A6">
        <w:t xml:space="preserve">OECD </w:t>
      </w:r>
      <w:r>
        <w:t xml:space="preserve">capital services growth </w:t>
      </w:r>
      <w:r w:rsidR="005E20A6">
        <w:t>data</w:t>
      </w:r>
      <w:r>
        <w:rPr>
          <w:rStyle w:val="FootnoteReference"/>
        </w:rPr>
        <w:footnoteReference w:id="12"/>
      </w:r>
      <w:r>
        <w:t xml:space="preserve">, it is important to note that their measures are compiled differently from how </w:t>
      </w:r>
      <w:r w:rsidR="005E20A6">
        <w:t xml:space="preserve">capital services growth is measured in </w:t>
      </w:r>
      <w:r>
        <w:t>individual member countr</w:t>
      </w:r>
      <w:r w:rsidR="005E20A6">
        <w:t>ies</w:t>
      </w:r>
      <w:r w:rsidR="009A3AD6">
        <w:t xml:space="preserve">. </w:t>
      </w:r>
      <w:r w:rsidR="00B95F95">
        <w:t>This section also examines some of the fundamental differences</w:t>
      </w:r>
      <w:r w:rsidR="00BE7D5C">
        <w:t xml:space="preserve"> in how Statistics NZ, </w:t>
      </w:r>
      <w:r w:rsidR="009A3AD6">
        <w:t>ABS,</w:t>
      </w:r>
      <w:r w:rsidR="00BE7D5C">
        <w:t xml:space="preserve"> and the OECD measure capital. These differences fall into </w:t>
      </w:r>
      <w:r>
        <w:t>three broad categories</w:t>
      </w:r>
      <w:r w:rsidR="00BE7D5C">
        <w:t>.</w:t>
      </w:r>
    </w:p>
    <w:p w:rsidR="00320A4B" w:rsidRPr="00201320" w:rsidRDefault="00320A4B" w:rsidP="00201320">
      <w:pPr>
        <w:pStyle w:val="ListBullet"/>
        <w:numPr>
          <w:ilvl w:val="0"/>
          <w:numId w:val="12"/>
        </w:numPr>
      </w:pPr>
      <w:r w:rsidRPr="00201320">
        <w:t>Asset coverage</w:t>
      </w:r>
    </w:p>
    <w:p w:rsidR="00320A4B" w:rsidRPr="00201320" w:rsidRDefault="00320A4B" w:rsidP="00201320">
      <w:pPr>
        <w:pStyle w:val="ListBullet"/>
        <w:numPr>
          <w:ilvl w:val="0"/>
          <w:numId w:val="12"/>
        </w:numPr>
      </w:pPr>
      <w:r w:rsidRPr="00201320">
        <w:t>Industry coverage</w:t>
      </w:r>
    </w:p>
    <w:p w:rsidR="00320A4B" w:rsidRPr="00201320" w:rsidRDefault="00320A4B" w:rsidP="00201320">
      <w:pPr>
        <w:pStyle w:val="ListBullet"/>
        <w:numPr>
          <w:ilvl w:val="0"/>
          <w:numId w:val="12"/>
        </w:numPr>
      </w:pPr>
      <w:r w:rsidRPr="00201320">
        <w:t>Compilation methodology</w:t>
      </w:r>
    </w:p>
    <w:p w:rsidR="00320A4B" w:rsidRDefault="00320A4B" w:rsidP="00320A4B">
      <w:pPr>
        <w:pStyle w:val="Heading5"/>
      </w:pPr>
      <w:r>
        <w:t>Asset coverage</w:t>
      </w:r>
    </w:p>
    <w:p w:rsidR="00320A4B" w:rsidRDefault="000F06C7" w:rsidP="00320A4B">
      <w:r>
        <w:t xml:space="preserve">Capital measures produced by </w:t>
      </w:r>
      <w:r w:rsidR="00320A4B">
        <w:t xml:space="preserve">Statistics NZ, the ABS and the OECD </w:t>
      </w:r>
      <w:r>
        <w:t xml:space="preserve">all </w:t>
      </w:r>
      <w:r w:rsidR="001D032B">
        <w:t>have</w:t>
      </w:r>
      <w:r w:rsidR="00320A4B">
        <w:t xml:space="preserve"> slightly different asset</w:t>
      </w:r>
      <w:r w:rsidR="001D032B">
        <w:t xml:space="preserve"> coverage</w:t>
      </w:r>
      <w:r w:rsidR="009A3AD6">
        <w:t xml:space="preserve">. </w:t>
      </w:r>
      <w:r w:rsidR="00320A4B">
        <w:t xml:space="preserve">These are outlined in Table </w:t>
      </w:r>
      <w:r w:rsidR="008D225C">
        <w:t>8</w:t>
      </w:r>
      <w:r w:rsidR="009A3AD6">
        <w:t xml:space="preserve">. </w:t>
      </w:r>
      <w:r w:rsidR="00320A4B">
        <w:t xml:space="preserve">Aside from the explicit differences in coverage, </w:t>
      </w:r>
      <w:r w:rsidR="00B77A5F">
        <w:t xml:space="preserve">there are also </w:t>
      </w:r>
      <w:r w:rsidR="00320A4B">
        <w:t xml:space="preserve">some differences </w:t>
      </w:r>
      <w:r w:rsidR="00EF7FB0">
        <w:t xml:space="preserve">in </w:t>
      </w:r>
      <w:r w:rsidR="00B77A5F">
        <w:t>how the three agencies compile estimates</w:t>
      </w:r>
      <w:r w:rsidR="00320A4B">
        <w:t xml:space="preserve"> of productive capital stock for certain assets</w:t>
      </w:r>
      <w:r w:rsidR="009A3AD6">
        <w:t xml:space="preserve">. </w:t>
      </w:r>
    </w:p>
    <w:p w:rsidR="00320A4B" w:rsidRDefault="001D032B" w:rsidP="00320A4B">
      <w:r>
        <w:t>For example, t</w:t>
      </w:r>
      <w:r w:rsidR="00320A4B">
        <w:t>he ABS capital estimates</w:t>
      </w:r>
      <w:r w:rsidR="00B95F95">
        <w:t xml:space="preserve"> of non-agricultural land </w:t>
      </w:r>
      <w:r w:rsidR="00320A4B">
        <w:t xml:space="preserve">for each industry are calculated by taking the </w:t>
      </w:r>
      <w:r w:rsidR="006C6DD0">
        <w:t xml:space="preserve">land’s </w:t>
      </w:r>
      <w:r w:rsidR="00320A4B">
        <w:t>balance sheet value for the reference year as a benchmark, and assuming that the growth rate is half that of the productive capital stock of non-dwelling construction</w:t>
      </w:r>
      <w:r w:rsidR="009A3AD6">
        <w:t xml:space="preserve">. </w:t>
      </w:r>
      <w:r w:rsidR="00320A4B">
        <w:t xml:space="preserve">This approach recognises that changes in the capital services provided by land can </w:t>
      </w:r>
      <w:r w:rsidR="006C6DD0">
        <w:t>be</w:t>
      </w:r>
      <w:r w:rsidR="000B1C8A">
        <w:t xml:space="preserve"> </w:t>
      </w:r>
      <w:r w:rsidR="000B1C8A">
        <w:lastRenderedPageBreak/>
        <w:t xml:space="preserve">disproportionately </w:t>
      </w:r>
      <w:r w:rsidR="006C6DD0">
        <w:t>influenced by</w:t>
      </w:r>
      <w:r w:rsidR="00320A4B">
        <w:t xml:space="preserve"> changes in the value of the building</w:t>
      </w:r>
      <w:r w:rsidR="006C6DD0">
        <w:t>s on that land</w:t>
      </w:r>
      <w:r w:rsidR="000B1C8A">
        <w:t>.</w:t>
      </w:r>
      <w:r w:rsidR="00320A4B">
        <w:t xml:space="preserve"> </w:t>
      </w:r>
      <w:r w:rsidR="00B95F95">
        <w:t xml:space="preserve">  Statistics NZ uses direct volume measures of land compiled by Quotable Value – New Zealand’s largest valuation and property </w:t>
      </w:r>
      <w:proofErr w:type="gramStart"/>
      <w:r w:rsidR="00B95F95">
        <w:t>information company</w:t>
      </w:r>
      <w:proofErr w:type="gramEnd"/>
      <w:r w:rsidR="00B95F95">
        <w:t>.</w:t>
      </w:r>
    </w:p>
    <w:p w:rsidR="00320A4B" w:rsidRDefault="00320A4B" w:rsidP="00320A4B">
      <w:r>
        <w:t>Both the OECD and the ABS exclude residential buildings from their asset mix. The ABS</w:t>
      </w:r>
      <w:r w:rsidR="00B40955">
        <w:t xml:space="preserve"> does this because</w:t>
      </w:r>
      <w:r>
        <w:t xml:space="preserve"> private rentals </w:t>
      </w:r>
      <w:r w:rsidR="00B40955">
        <w:t xml:space="preserve">are included in </w:t>
      </w:r>
      <w:r>
        <w:t xml:space="preserve">their ownership of dwellings (OOD) industry. </w:t>
      </w:r>
      <w:r w:rsidR="00793C4C">
        <w:t>This industry</w:t>
      </w:r>
      <w:r>
        <w:t xml:space="preserve"> sits outside the</w:t>
      </w:r>
      <w:r w:rsidR="00793C4C">
        <w:t>ir</w:t>
      </w:r>
      <w:r>
        <w:t xml:space="preserve"> market sector. However, in New Zealand, private rentals sit within the property services industry, and therefore residential buildings </w:t>
      </w:r>
      <w:r w:rsidR="002653DA">
        <w:t xml:space="preserve">that </w:t>
      </w:r>
      <w:r>
        <w:t xml:space="preserve">are rented </w:t>
      </w:r>
      <w:r w:rsidR="00B95F95">
        <w:t>are</w:t>
      </w:r>
      <w:r>
        <w:t xml:space="preserve"> included in the measured sector</w:t>
      </w:r>
      <w:r w:rsidR="009A3AD6">
        <w:t xml:space="preserve">. </w:t>
      </w:r>
      <w:r>
        <w:t>The OECD excludes both land and inventories, which means (</w:t>
      </w:r>
      <w:r w:rsidR="00793C4C">
        <w:t xml:space="preserve">especially </w:t>
      </w:r>
      <w:r>
        <w:t>in the case of land) that their measures are likely to grow at a faster rate.</w:t>
      </w:r>
    </w:p>
    <w:p w:rsidR="00320A4B" w:rsidRDefault="00320A4B" w:rsidP="00320A4B">
      <w:pPr>
        <w:pStyle w:val="TableTitle11pt"/>
      </w:pPr>
      <w:r>
        <w:t xml:space="preserve">Table </w:t>
      </w:r>
      <w:r w:rsidR="00865672">
        <w:t>8</w:t>
      </w:r>
      <w:r>
        <w:br/>
        <w:t xml:space="preserve">Capital asset </w:t>
      </w:r>
      <w:r w:rsidR="00793C4C">
        <w:t>coverage for productivity</w:t>
      </w:r>
      <w:r>
        <w:t xml:space="preserve"> at Statistics NZ, the ABS, and OECD </w:t>
      </w:r>
    </w:p>
    <w:p w:rsidR="00320A4B" w:rsidRDefault="00EF7FB0" w:rsidP="00EC22D3">
      <w:r w:rsidRPr="00EF7FB0">
        <w:rPr>
          <w:noProof/>
          <w:lang w:eastAsia="en-NZ"/>
        </w:rPr>
        <w:drawing>
          <wp:inline distT="0" distB="0" distL="0" distR="0">
            <wp:extent cx="5731510" cy="4399246"/>
            <wp:effectExtent l="19050" t="0" r="2540" b="0"/>
            <wp:docPr id="4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5731510" cy="4399246"/>
                    </a:xfrm>
                    <a:prstGeom prst="rect">
                      <a:avLst/>
                    </a:prstGeom>
                    <a:noFill/>
                    <a:ln w="9525">
                      <a:noFill/>
                      <a:miter lim="800000"/>
                      <a:headEnd/>
                      <a:tailEnd/>
                    </a:ln>
                  </pic:spPr>
                </pic:pic>
              </a:graphicData>
            </a:graphic>
          </wp:inline>
        </w:drawing>
      </w:r>
    </w:p>
    <w:p w:rsidR="009B3DE7" w:rsidRDefault="00EF7FB0" w:rsidP="009B3DE7">
      <w:pPr>
        <w:pStyle w:val="Footer"/>
        <w:jc w:val="left"/>
      </w:pPr>
      <w:r>
        <w:t xml:space="preserve">1. </w:t>
      </w:r>
      <w:r w:rsidR="009B3DE7">
        <w:t>Livestock estimates are calculated using the PIM by the ABS</w:t>
      </w:r>
    </w:p>
    <w:p w:rsidR="00320A4B" w:rsidRDefault="00EF7FB0" w:rsidP="009B3DE7">
      <w:pPr>
        <w:pStyle w:val="Footer"/>
        <w:jc w:val="left"/>
      </w:pPr>
      <w:r>
        <w:t>2.</w:t>
      </w:r>
      <w:r w:rsidR="009B3DE7">
        <w:t xml:space="preserve"> Inventories include livestock and standing timber which are estimated independently from the PIM</w:t>
      </w:r>
    </w:p>
    <w:p w:rsidR="009B3DE7" w:rsidRDefault="009B3DE7" w:rsidP="009B3DE7">
      <w:pPr>
        <w:pStyle w:val="Heading5"/>
      </w:pPr>
      <w:r>
        <w:t>Industry coverage</w:t>
      </w:r>
    </w:p>
    <w:p w:rsidR="00320A4B" w:rsidRDefault="009B3DE7" w:rsidP="009B3DE7">
      <w:r>
        <w:t xml:space="preserve">The OECD </w:t>
      </w:r>
      <w:r w:rsidR="00D60534">
        <w:t xml:space="preserve">measures </w:t>
      </w:r>
      <w:r>
        <w:t xml:space="preserve">capital services </w:t>
      </w:r>
      <w:r w:rsidR="00D60534">
        <w:t>across</w:t>
      </w:r>
      <w:r>
        <w:t xml:space="preserve"> the total economy</w:t>
      </w:r>
      <w:r w:rsidR="00D60534">
        <w:t>,</w:t>
      </w:r>
      <w:r>
        <w:t xml:space="preserve"> whereas Statistics NZ </w:t>
      </w:r>
      <w:r w:rsidR="00D60534">
        <w:t xml:space="preserve">only measures </w:t>
      </w:r>
      <w:r>
        <w:t>capital services for the measured sector</w:t>
      </w:r>
      <w:r w:rsidR="009A3AD6">
        <w:t xml:space="preserve">. </w:t>
      </w:r>
      <w:r>
        <w:t xml:space="preserve">This creates several </w:t>
      </w:r>
      <w:r w:rsidR="00AF09D7">
        <w:t xml:space="preserve">differences </w:t>
      </w:r>
      <w:r>
        <w:t>between the two series</w:t>
      </w:r>
      <w:r w:rsidR="009A3AD6">
        <w:t xml:space="preserve">. </w:t>
      </w:r>
      <w:r>
        <w:t>Including the non-measured sector</w:t>
      </w:r>
      <w:r w:rsidR="00B95F95">
        <w:t xml:space="preserve"> (which is now comprised of predominantly government industries)</w:t>
      </w:r>
      <w:r>
        <w:t xml:space="preserve"> can cause differences in the rate </w:t>
      </w:r>
      <w:r w:rsidR="00AF09D7">
        <w:t xml:space="preserve">at which </w:t>
      </w:r>
      <w:r>
        <w:t xml:space="preserve">aggregate capital services grow. The non-measured sector is characterised by some </w:t>
      </w:r>
      <w:r w:rsidR="00AF09D7">
        <w:t xml:space="preserve">relatively </w:t>
      </w:r>
      <w:r>
        <w:t xml:space="preserve">slow growth asset types (such as buildings, </w:t>
      </w:r>
      <w:r w:rsidR="00793C4C">
        <w:t>and land</w:t>
      </w:r>
      <w:r>
        <w:t xml:space="preserve">). </w:t>
      </w:r>
      <w:r w:rsidR="00227705">
        <w:t xml:space="preserve">In the non-measured sector </w:t>
      </w:r>
      <w:r>
        <w:t>industries</w:t>
      </w:r>
      <w:r w:rsidR="00AF09D7">
        <w:t>,</w:t>
      </w:r>
      <w:r>
        <w:t xml:space="preserve"> capital (relative to labour) has a low weight,</w:t>
      </w:r>
      <w:r w:rsidR="008D225C">
        <w:t xml:space="preserve"> and</w:t>
      </w:r>
      <w:r>
        <w:t xml:space="preserve"> therefore </w:t>
      </w:r>
      <w:r w:rsidR="00563704">
        <w:t>is not likely to</w:t>
      </w:r>
      <w:r>
        <w:t xml:space="preserve"> have a large impact on the total if</w:t>
      </w:r>
      <w:r w:rsidR="00793C4C">
        <w:t xml:space="preserve"> included into an aggregate measure.</w:t>
      </w:r>
    </w:p>
    <w:p w:rsidR="000801F6" w:rsidRDefault="009B3DE7" w:rsidP="00793C4C">
      <w:pPr>
        <w:pStyle w:val="TableTitle11pt"/>
      </w:pPr>
      <w:r>
        <w:lastRenderedPageBreak/>
        <w:t xml:space="preserve">Table </w:t>
      </w:r>
      <w:r w:rsidR="00865672">
        <w:t>9</w:t>
      </w:r>
      <w:r>
        <w:br/>
        <w:t xml:space="preserve">Major assets in non-measured sector industries in New Zealand </w:t>
      </w:r>
    </w:p>
    <w:p w:rsidR="00320A4B" w:rsidRDefault="009B3DE7" w:rsidP="00793C4C">
      <w:pPr>
        <w:pStyle w:val="TableTitle11pt"/>
      </w:pPr>
      <w:r w:rsidRPr="009B3DE7">
        <w:rPr>
          <w:noProof/>
          <w:lang w:val="en-NZ" w:eastAsia="en-NZ"/>
        </w:rPr>
        <w:drawing>
          <wp:inline distT="0" distB="0" distL="0" distR="0">
            <wp:extent cx="5731510" cy="823446"/>
            <wp:effectExtent l="19050" t="0" r="254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5731510" cy="823446"/>
                    </a:xfrm>
                    <a:prstGeom prst="rect">
                      <a:avLst/>
                    </a:prstGeom>
                    <a:noFill/>
                    <a:ln w="9525">
                      <a:noFill/>
                      <a:miter lim="800000"/>
                      <a:headEnd/>
                      <a:tailEnd/>
                    </a:ln>
                  </pic:spPr>
                </pic:pic>
              </a:graphicData>
            </a:graphic>
          </wp:inline>
        </w:drawing>
      </w:r>
    </w:p>
    <w:p w:rsidR="00B54643" w:rsidRDefault="00B54643" w:rsidP="00B54643">
      <w:r w:rsidRPr="00B54643">
        <w:rPr>
          <w:b/>
        </w:rPr>
        <w:t>Source</w:t>
      </w:r>
      <w:r>
        <w:t>: Statistics NZ</w:t>
      </w:r>
    </w:p>
    <w:p w:rsidR="009B3DE7" w:rsidRDefault="009B3DE7" w:rsidP="009B3DE7">
      <w:pPr>
        <w:pStyle w:val="Heading5"/>
      </w:pPr>
      <w:r>
        <w:t>Methodological differences</w:t>
      </w:r>
    </w:p>
    <w:p w:rsidR="00440359" w:rsidRDefault="009B3DE7" w:rsidP="00EC22D3">
      <w:pPr>
        <w:sectPr w:rsidR="00440359" w:rsidSect="0060075E">
          <w:headerReference w:type="default" r:id="rId32"/>
          <w:footerReference w:type="default" r:id="rId33"/>
          <w:pgSz w:w="11906" w:h="16838"/>
          <w:pgMar w:top="1440" w:right="1440" w:bottom="1440" w:left="1440" w:header="708" w:footer="708" w:gutter="0"/>
          <w:cols w:space="708"/>
          <w:docGrid w:linePitch="360"/>
        </w:sectPr>
      </w:pPr>
      <w:r w:rsidRPr="009B3DE7">
        <w:t xml:space="preserve">Table </w:t>
      </w:r>
      <w:r w:rsidR="008D225C">
        <w:t>10</w:t>
      </w:r>
      <w:r w:rsidRPr="009B3DE7">
        <w:t xml:space="preserve"> summarises the key characteristics of capital measurement across Statistics NZ, the </w:t>
      </w:r>
      <w:r w:rsidR="009A3AD6" w:rsidRPr="009B3DE7">
        <w:t>OECD,</w:t>
      </w:r>
      <w:r w:rsidRPr="009B3DE7">
        <w:t xml:space="preserve"> and ABS.</w:t>
      </w:r>
    </w:p>
    <w:p w:rsidR="002C2B68" w:rsidRDefault="002C2B68" w:rsidP="002C2B68">
      <w:pPr>
        <w:pStyle w:val="TableTitle11pt"/>
      </w:pPr>
      <w:r>
        <w:lastRenderedPageBreak/>
        <w:t xml:space="preserve">Table </w:t>
      </w:r>
      <w:r w:rsidR="00865672">
        <w:t>10</w:t>
      </w:r>
      <w:r>
        <w:br/>
      </w:r>
      <w:r w:rsidRPr="005632E3">
        <w:rPr>
          <w:color w:val="000000" w:themeColor="text1"/>
          <w:sz w:val="22"/>
          <w:szCs w:val="22"/>
        </w:rPr>
        <w:t xml:space="preserve">Key characteristics of capital measurement: Statistics NZ, </w:t>
      </w:r>
      <w:r w:rsidR="009A3AD6" w:rsidRPr="005632E3">
        <w:rPr>
          <w:color w:val="000000" w:themeColor="text1"/>
          <w:sz w:val="22"/>
          <w:szCs w:val="22"/>
        </w:rPr>
        <w:t>OECD,</w:t>
      </w:r>
      <w:r w:rsidRPr="005632E3">
        <w:rPr>
          <w:color w:val="000000" w:themeColor="text1"/>
          <w:sz w:val="22"/>
          <w:szCs w:val="22"/>
        </w:rPr>
        <w:t xml:space="preserve"> and the </w:t>
      </w:r>
      <w:r>
        <w:rPr>
          <w:color w:val="000000" w:themeColor="text1"/>
          <w:sz w:val="22"/>
          <w:szCs w:val="22"/>
        </w:rPr>
        <w:t>ABS</w:t>
      </w:r>
    </w:p>
    <w:p w:rsidR="009B3DE7" w:rsidRDefault="000801F6" w:rsidP="00EC22D3">
      <w:r w:rsidRPr="000801F6">
        <w:rPr>
          <w:noProof/>
          <w:lang w:eastAsia="en-NZ"/>
        </w:rPr>
        <w:drawing>
          <wp:inline distT="0" distB="0" distL="0" distR="0">
            <wp:extent cx="8863330" cy="374530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8863330" cy="3745308"/>
                    </a:xfrm>
                    <a:prstGeom prst="rect">
                      <a:avLst/>
                    </a:prstGeom>
                    <a:noFill/>
                    <a:ln w="9525">
                      <a:noFill/>
                      <a:miter lim="800000"/>
                      <a:headEnd/>
                      <a:tailEnd/>
                    </a:ln>
                  </pic:spPr>
                </pic:pic>
              </a:graphicData>
            </a:graphic>
          </wp:inline>
        </w:drawing>
      </w:r>
    </w:p>
    <w:p w:rsidR="00440359" w:rsidRDefault="00440359" w:rsidP="002C2B68">
      <w:pPr>
        <w:pStyle w:val="Heading4"/>
      </w:pPr>
    </w:p>
    <w:p w:rsidR="00440359" w:rsidRDefault="00440359" w:rsidP="002C2B68">
      <w:pPr>
        <w:pStyle w:val="Heading4"/>
        <w:sectPr w:rsidR="00440359" w:rsidSect="00440359">
          <w:pgSz w:w="16838" w:h="11906" w:orient="landscape"/>
          <w:pgMar w:top="1440" w:right="1440" w:bottom="1440" w:left="1440" w:header="708" w:footer="708" w:gutter="0"/>
          <w:cols w:space="708"/>
          <w:docGrid w:linePitch="360"/>
        </w:sectPr>
      </w:pPr>
    </w:p>
    <w:p w:rsidR="002C2B68" w:rsidRDefault="002C2B68" w:rsidP="002C2B68">
      <w:pPr>
        <w:pStyle w:val="Heading4"/>
      </w:pPr>
      <w:r>
        <w:lastRenderedPageBreak/>
        <w:t>5.3 Reconciling the OECD capital services growth</w:t>
      </w:r>
    </w:p>
    <w:p w:rsidR="00B90DB2" w:rsidRDefault="00793C4C" w:rsidP="00EC22D3">
      <w:r>
        <w:t xml:space="preserve">Figure 8 </w:t>
      </w:r>
      <w:r w:rsidR="002C2B68" w:rsidRPr="002C2B68">
        <w:t>presents the OECD growth in capital services</w:t>
      </w:r>
      <w:r w:rsidR="00B95F95">
        <w:t xml:space="preserve"> (the top bar)</w:t>
      </w:r>
      <w:r w:rsidR="002C2B68" w:rsidRPr="002C2B68">
        <w:t xml:space="preserve"> relative to several tested </w:t>
      </w:r>
      <w:r w:rsidR="009A3AD6" w:rsidRPr="002C2B68">
        <w:t>scenarios, which combine different asset,</w:t>
      </w:r>
      <w:r w:rsidR="002C2B68" w:rsidRPr="002C2B68">
        <w:t xml:space="preserve"> and industry mixes</w:t>
      </w:r>
      <w:r w:rsidR="00BA2DD0">
        <w:t xml:space="preserve"> (using Statistics NZ data)</w:t>
      </w:r>
      <w:r w:rsidR="009A3AD6" w:rsidRPr="002C2B68">
        <w:t>.</w:t>
      </w:r>
      <w:r w:rsidR="009A3AD6">
        <w:t xml:space="preserve"> </w:t>
      </w:r>
      <w:r w:rsidR="00B95F95">
        <w:t>The bottom bar represents the baseline growth in the current measured sector for New Zealand</w:t>
      </w:r>
      <w:r w:rsidR="009A3AD6">
        <w:t xml:space="preserve">. </w:t>
      </w:r>
      <w:r w:rsidR="00B90DB2">
        <w:t>Each of the other series in this graph repres</w:t>
      </w:r>
      <w:r>
        <w:t>ents a different mix of industry</w:t>
      </w:r>
      <w:r w:rsidR="00B90DB2">
        <w:t xml:space="preserve"> and asset</w:t>
      </w:r>
      <w:r>
        <w:t xml:space="preserve"> coverage</w:t>
      </w:r>
      <w:r w:rsidR="0061658E">
        <w:t>. These examine</w:t>
      </w:r>
      <w:r w:rsidR="00B90DB2">
        <w:t xml:space="preserve"> the differences between the Statistics NZ measured sector and OECD </w:t>
      </w:r>
      <w:r w:rsidR="0061658E">
        <w:t xml:space="preserve">measures of </w:t>
      </w:r>
      <w:r w:rsidR="00B90DB2">
        <w:t>growth in capital services.</w:t>
      </w:r>
      <w:r w:rsidR="00B95F95">
        <w:t xml:space="preserve"> </w:t>
      </w:r>
      <w:r w:rsidR="002C2B68" w:rsidRPr="002C2B68">
        <w:t xml:space="preserve"> </w:t>
      </w:r>
    </w:p>
    <w:p w:rsidR="002955BE" w:rsidRDefault="002C2B68" w:rsidP="00EC22D3">
      <w:r w:rsidRPr="002C2B68">
        <w:t>The growth in the OECD capital services measure from 1996</w:t>
      </w:r>
      <w:r w:rsidR="00021AE1">
        <w:t>–</w:t>
      </w:r>
      <w:r w:rsidRPr="002C2B68">
        <w:t>2011 is considerably higher than any of the other scenarios</w:t>
      </w:r>
      <w:r w:rsidR="0048581C">
        <w:t>. Growth was</w:t>
      </w:r>
      <w:r w:rsidRPr="002C2B68">
        <w:t xml:space="preserve"> 1.4</w:t>
      </w:r>
      <w:r w:rsidR="0048581C">
        <w:t xml:space="preserve"> percent</w:t>
      </w:r>
      <w:r w:rsidRPr="002C2B68">
        <w:t xml:space="preserve"> per year stronger than the baseline measured sector (2.9</w:t>
      </w:r>
      <w:r w:rsidR="00021AE1">
        <w:t xml:space="preserve"> percent </w:t>
      </w:r>
      <w:r w:rsidR="0048581C">
        <w:t>–</w:t>
      </w:r>
      <w:r w:rsidR="00AF09D7">
        <w:t xml:space="preserve"> </w:t>
      </w:r>
      <w:r w:rsidR="0048581C">
        <w:t>see</w:t>
      </w:r>
      <w:r w:rsidR="00AF09D7">
        <w:t xml:space="preserve"> table 3</w:t>
      </w:r>
      <w:r w:rsidRPr="002C2B68">
        <w:t>), and 1.0</w:t>
      </w:r>
      <w:r w:rsidR="0048581C">
        <w:t xml:space="preserve"> percent</w:t>
      </w:r>
      <w:r w:rsidRPr="002C2B68">
        <w:t xml:space="preserve"> per year stronger than the scenario with the highest growth over this period (which is the authors’ attempt to calculate total economy capital services growth with the same asset and industry coverage as the OECD measure).</w:t>
      </w:r>
    </w:p>
    <w:p w:rsidR="00391334" w:rsidRPr="00DA11F1" w:rsidRDefault="00793C4C" w:rsidP="00391334">
      <w:pPr>
        <w:pStyle w:val="StyleFigureTitle111ptBefore0ptAfter6pt"/>
      </w:pPr>
      <w:r>
        <w:t>Figure 8</w:t>
      </w:r>
      <w:r w:rsidR="00391334">
        <w:br/>
        <w:t>Capital services growth</w:t>
      </w:r>
      <w:r w:rsidR="00B95F95">
        <w:t xml:space="preserve"> in New Zealand</w:t>
      </w:r>
      <w:r w:rsidR="00391334">
        <w:t xml:space="preserve"> using different asset/industry scenarios</w:t>
      </w:r>
    </w:p>
    <w:p w:rsidR="002C2B68" w:rsidRDefault="001D032B" w:rsidP="00EC22D3">
      <w:r w:rsidRPr="001D032B">
        <w:rPr>
          <w:noProof/>
          <w:lang w:eastAsia="en-NZ"/>
        </w:rPr>
        <w:drawing>
          <wp:inline distT="0" distB="0" distL="0" distR="0">
            <wp:extent cx="4886325" cy="4371975"/>
            <wp:effectExtent l="19050" t="0" r="9525" b="0"/>
            <wp:docPr id="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srcRect/>
                    <a:stretch>
                      <a:fillRect/>
                    </a:stretch>
                  </pic:blipFill>
                  <pic:spPr bwMode="auto">
                    <a:xfrm>
                      <a:off x="0" y="0"/>
                      <a:ext cx="4886325" cy="4371975"/>
                    </a:xfrm>
                    <a:prstGeom prst="rect">
                      <a:avLst/>
                    </a:prstGeom>
                    <a:noFill/>
                    <a:ln w="9525">
                      <a:noFill/>
                      <a:miter lim="800000"/>
                      <a:headEnd/>
                      <a:tailEnd/>
                    </a:ln>
                  </pic:spPr>
                </pic:pic>
              </a:graphicData>
            </a:graphic>
          </wp:inline>
        </w:drawing>
      </w:r>
    </w:p>
    <w:p w:rsidR="002C2B68" w:rsidRDefault="00793C4C" w:rsidP="00EC22D3">
      <w:r>
        <w:t xml:space="preserve">Figure 9 </w:t>
      </w:r>
      <w:r w:rsidR="00391334" w:rsidRPr="00391334">
        <w:t xml:space="preserve">displays time series of the different scenarios against OECD </w:t>
      </w:r>
      <w:r w:rsidR="0071592E">
        <w:t xml:space="preserve">estimates of </w:t>
      </w:r>
      <w:r w:rsidR="00391334" w:rsidRPr="00391334">
        <w:t>capital services growth</w:t>
      </w:r>
      <w:r w:rsidR="00B90DB2">
        <w:t xml:space="preserve"> for New Zealand</w:t>
      </w:r>
      <w:r w:rsidR="009A3AD6" w:rsidRPr="00391334">
        <w:t xml:space="preserve">. </w:t>
      </w:r>
      <w:r w:rsidR="008E55D4">
        <w:t>T</w:t>
      </w:r>
      <w:r w:rsidR="00391334" w:rsidRPr="00391334">
        <w:t xml:space="preserve">hroughout the period from 1996–2011 the OECD series has </w:t>
      </w:r>
      <w:r w:rsidR="0071592E">
        <w:t xml:space="preserve">grown </w:t>
      </w:r>
      <w:r w:rsidR="008E55D4">
        <w:t xml:space="preserve">faster </w:t>
      </w:r>
      <w:r w:rsidR="00391334" w:rsidRPr="00391334">
        <w:t>than any of the series</w:t>
      </w:r>
      <w:r w:rsidR="0071592E">
        <w:t xml:space="preserve"> based on </w:t>
      </w:r>
      <w:r w:rsidR="0071592E" w:rsidRPr="00391334">
        <w:t xml:space="preserve">Statistics NZ </w:t>
      </w:r>
      <w:r w:rsidR="0071592E">
        <w:t>data</w:t>
      </w:r>
      <w:r w:rsidR="00391334" w:rsidRPr="00391334">
        <w:t>.</w:t>
      </w:r>
    </w:p>
    <w:p w:rsidR="00391334" w:rsidRPr="00DA11F1" w:rsidRDefault="00391334" w:rsidP="00391334">
      <w:pPr>
        <w:pStyle w:val="StyleFigureTitle111ptBefore0ptAfter6pt"/>
      </w:pPr>
      <w:r>
        <w:lastRenderedPageBreak/>
        <w:t xml:space="preserve">Figure </w:t>
      </w:r>
      <w:r w:rsidR="00793C4C">
        <w:t>9</w:t>
      </w:r>
      <w:r>
        <w:br/>
        <w:t>Capital services indexes using different asset/industry scenarios</w:t>
      </w:r>
    </w:p>
    <w:p w:rsidR="00391334" w:rsidRDefault="001D032B" w:rsidP="00EC22D3">
      <w:r w:rsidRPr="001D032B">
        <w:rPr>
          <w:noProof/>
          <w:lang w:eastAsia="en-NZ"/>
        </w:rPr>
        <w:drawing>
          <wp:inline distT="0" distB="0" distL="0" distR="0">
            <wp:extent cx="5731510" cy="2752930"/>
            <wp:effectExtent l="19050" t="0" r="0" b="0"/>
            <wp:docPr id="4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srcRect/>
                    <a:stretch>
                      <a:fillRect/>
                    </a:stretch>
                  </pic:blipFill>
                  <pic:spPr bwMode="auto">
                    <a:xfrm>
                      <a:off x="0" y="0"/>
                      <a:ext cx="5731510" cy="2752930"/>
                    </a:xfrm>
                    <a:prstGeom prst="rect">
                      <a:avLst/>
                    </a:prstGeom>
                    <a:noFill/>
                    <a:ln w="9525">
                      <a:noFill/>
                      <a:miter lim="800000"/>
                      <a:headEnd/>
                      <a:tailEnd/>
                    </a:ln>
                  </pic:spPr>
                </pic:pic>
              </a:graphicData>
            </a:graphic>
          </wp:inline>
        </w:drawing>
      </w:r>
    </w:p>
    <w:p w:rsidR="00391334" w:rsidRDefault="00391334" w:rsidP="00EC22D3"/>
    <w:p w:rsidR="006076E5" w:rsidRDefault="00C51039" w:rsidP="006076E5">
      <w:r>
        <w:t>S</w:t>
      </w:r>
      <w:r w:rsidR="006076E5">
        <w:t>everal conclusions can be drawn</w:t>
      </w:r>
      <w:r>
        <w:t xml:space="preserve"> based on these scenarios</w:t>
      </w:r>
      <w:r w:rsidR="006076E5">
        <w:t xml:space="preserve"> </w:t>
      </w:r>
      <w:r>
        <w:t>about</w:t>
      </w:r>
      <w:r w:rsidR="006076E5">
        <w:t xml:space="preserve"> industry and asset coverage impact on capital services growth.  </w:t>
      </w:r>
    </w:p>
    <w:p w:rsidR="00516832" w:rsidRDefault="006076E5" w:rsidP="006076E5">
      <w:r>
        <w:t>Firstly, industry coverage has a fairly minimal effect on the growth rate of capital services</w:t>
      </w:r>
      <w:r w:rsidR="007158DA">
        <w:t xml:space="preserve">, as shown by the minimal difference between baseline measured sector growth and </w:t>
      </w:r>
      <w:r w:rsidR="00DC175C">
        <w:t>total</w:t>
      </w:r>
      <w:r w:rsidR="007158DA">
        <w:t xml:space="preserve"> economy growth</w:t>
      </w:r>
      <w:r w:rsidR="00DC175C">
        <w:t xml:space="preserve"> (the bottom two lines in figure </w:t>
      </w:r>
      <w:r w:rsidR="00F6299D">
        <w:t>9</w:t>
      </w:r>
      <w:r w:rsidR="00DC175C">
        <w:t>)</w:t>
      </w:r>
      <w:r>
        <w:t xml:space="preserve">.  </w:t>
      </w:r>
    </w:p>
    <w:p w:rsidR="00516832" w:rsidRDefault="006076E5" w:rsidP="006076E5">
      <w:r>
        <w:t xml:space="preserve">Secondly, </w:t>
      </w:r>
      <w:r w:rsidR="00516832">
        <w:t>removing</w:t>
      </w:r>
      <w:r>
        <w:t xml:space="preserve"> non-PIM capital inputs has a </w:t>
      </w:r>
      <w:r w:rsidR="00DC175C">
        <w:t>slightly larger</w:t>
      </w:r>
      <w:r>
        <w:t xml:space="preserve"> effect on the growth of capital services</w:t>
      </w:r>
      <w:r w:rsidR="00DC175C">
        <w:t xml:space="preserve"> relative to changing the industry mix</w:t>
      </w:r>
      <w:r>
        <w:t xml:space="preserve"> </w:t>
      </w:r>
      <w:r w:rsidR="00516832">
        <w:t xml:space="preserve">after </w:t>
      </w:r>
      <w:r>
        <w:t>1996</w:t>
      </w:r>
      <w:r w:rsidR="009A3AD6">
        <w:t xml:space="preserve">. </w:t>
      </w:r>
      <w:r w:rsidR="00DC175C">
        <w:t xml:space="preserve">This is </w:t>
      </w:r>
      <w:r w:rsidR="006614B5">
        <w:t>because</w:t>
      </w:r>
      <w:r>
        <w:t xml:space="preserve"> non-agricultural land</w:t>
      </w:r>
      <w:r w:rsidR="006614B5">
        <w:t xml:space="preserve"> is now included in calculations</w:t>
      </w:r>
      <w:r w:rsidR="009A3AD6">
        <w:t xml:space="preserve">. </w:t>
      </w:r>
      <w:r>
        <w:t xml:space="preserve">Non-agricultural land </w:t>
      </w:r>
      <w:r w:rsidR="00F02CCB">
        <w:t xml:space="preserve">is a </w:t>
      </w:r>
      <w:r>
        <w:t>slow</w:t>
      </w:r>
      <w:r w:rsidR="00F02CCB">
        <w:t>-</w:t>
      </w:r>
      <w:r>
        <w:t>growing asset relative to the other asset types</w:t>
      </w:r>
      <w:r w:rsidR="00DA4D48">
        <w:t>. Removing it</w:t>
      </w:r>
      <w:r>
        <w:t xml:space="preserve"> leads to noticeably stronger growth in capital services.  </w:t>
      </w:r>
    </w:p>
    <w:p w:rsidR="006076E5" w:rsidRDefault="006076E5" w:rsidP="006076E5">
      <w:r>
        <w:t xml:space="preserve">Lastly, </w:t>
      </w:r>
      <w:r w:rsidR="006748FA">
        <w:t>removing</w:t>
      </w:r>
      <w:r>
        <w:t xml:space="preserve"> residential buildings</w:t>
      </w:r>
      <w:r w:rsidR="007158DA">
        <w:t xml:space="preserve"> from the asset mix</w:t>
      </w:r>
      <w:r>
        <w:t xml:space="preserve"> has a </w:t>
      </w:r>
      <w:r w:rsidR="00285354">
        <w:t xml:space="preserve">relatively </w:t>
      </w:r>
      <w:r>
        <w:t xml:space="preserve">small impact on growth. </w:t>
      </w:r>
      <w:r w:rsidR="00285354">
        <w:t>R</w:t>
      </w:r>
      <w:r>
        <w:t>esidential buildings are a slow</w:t>
      </w:r>
      <w:r w:rsidR="006748FA">
        <w:t>-</w:t>
      </w:r>
      <w:r>
        <w:t>growth, long</w:t>
      </w:r>
      <w:r w:rsidR="006748FA">
        <w:t>-</w:t>
      </w:r>
      <w:r>
        <w:t>life asset</w:t>
      </w:r>
      <w:r w:rsidR="006748FA">
        <w:t xml:space="preserve">. Including </w:t>
      </w:r>
      <w:r w:rsidR="003E279A">
        <w:t>residential buildings</w:t>
      </w:r>
      <w:r w:rsidR="006748FA">
        <w:t xml:space="preserve"> is likely to</w:t>
      </w:r>
      <w:r>
        <w:t xml:space="preserve"> bring down the growth rate </w:t>
      </w:r>
      <w:r w:rsidR="00566873">
        <w:t>of</w:t>
      </w:r>
      <w:r>
        <w:t xml:space="preserve"> total capital services. </w:t>
      </w:r>
    </w:p>
    <w:p w:rsidR="00391334" w:rsidRDefault="006076E5" w:rsidP="006076E5">
      <w:r>
        <w:t xml:space="preserve">The main conclusion that can be drawn from </w:t>
      </w:r>
      <w:r w:rsidR="008F70B9">
        <w:t xml:space="preserve">our </w:t>
      </w:r>
      <w:r>
        <w:t>scenario testing is that asset coverage seems to have a larger impact on growth rates than industry coverage</w:t>
      </w:r>
      <w:r w:rsidR="007158DA">
        <w:t>, due to the nature of the assets excluded by the OECD in their capital measures</w:t>
      </w:r>
      <w:r w:rsidR="009A3AD6">
        <w:t xml:space="preserve">. </w:t>
      </w:r>
      <w:r>
        <w:t xml:space="preserve">Future work to reconcile further the OECD and Statistics NZ measures of capital services </w:t>
      </w:r>
      <w:r w:rsidR="008F70B9">
        <w:t>c</w:t>
      </w:r>
      <w:r>
        <w:t>ould include adjusting various PIM parameters and how thos</w:t>
      </w:r>
      <w:r w:rsidR="008F70B9">
        <w:t>e parameters</w:t>
      </w:r>
      <w:r>
        <w:t xml:space="preserve"> are applied to the </w:t>
      </w:r>
      <w:r w:rsidR="00D639E9">
        <w:t xml:space="preserve">mix of </w:t>
      </w:r>
      <w:r>
        <w:t>asset</w:t>
      </w:r>
      <w:r w:rsidR="00D639E9">
        <w:t>s included in productivity calculations</w:t>
      </w:r>
      <w:r w:rsidR="009A3AD6">
        <w:t xml:space="preserve">. </w:t>
      </w:r>
      <w:r>
        <w:t>A similar exercise could be done to harmonise Statistics NZ and ABS capital stock and capital service estimates.</w:t>
      </w:r>
    </w:p>
    <w:p w:rsidR="006076E5" w:rsidRDefault="006076E5" w:rsidP="006076E5">
      <w:pPr>
        <w:pStyle w:val="Heading3"/>
      </w:pPr>
      <w:r>
        <w:t xml:space="preserve">6 Conclusion </w:t>
      </w:r>
    </w:p>
    <w:p w:rsidR="00977AAD" w:rsidRDefault="005A6F6A" w:rsidP="005A6F6A">
      <w:pPr>
        <w:pStyle w:val="BodyText"/>
      </w:pPr>
      <w:r>
        <w:t>This paper presents further steps towards</w:t>
      </w:r>
      <w:r w:rsidR="00040359">
        <w:t xml:space="preserve"> a</w:t>
      </w:r>
      <w:r>
        <w:t xml:space="preserve"> better understanding the differences in productivity measurement between New Zealand and Australia. </w:t>
      </w:r>
      <w:r w:rsidRPr="0004792B">
        <w:t>Several of the outstanding issues identified by</w:t>
      </w:r>
      <w:r w:rsidRPr="00BC77CB">
        <w:rPr>
          <w:i/>
        </w:rPr>
        <w:t xml:space="preserve"> </w:t>
      </w:r>
      <w:r w:rsidR="00040359" w:rsidRPr="00427A9F">
        <w:rPr>
          <w:i/>
        </w:rPr>
        <w:t>Taking on the West Island: How does New Zealand’s labour productivity stack up?</w:t>
      </w:r>
      <w:r w:rsidR="00040359">
        <w:rPr>
          <w:i/>
        </w:rPr>
        <w:t xml:space="preserve"> </w:t>
      </w:r>
      <w:r w:rsidR="00040359" w:rsidRPr="00427A9F">
        <w:t>(Statistics NZ, 2010</w:t>
      </w:r>
      <w:r w:rsidR="00040359">
        <w:t>b</w:t>
      </w:r>
      <w:r w:rsidR="00040359" w:rsidRPr="00BC77CB">
        <w:t>)</w:t>
      </w:r>
      <w:r w:rsidR="00040359">
        <w:t xml:space="preserve"> have </w:t>
      </w:r>
      <w:r w:rsidR="0004792B">
        <w:t>had progress updates,</w:t>
      </w:r>
      <w:r w:rsidR="00040359">
        <w:t xml:space="preserve"> </w:t>
      </w:r>
      <w:r>
        <w:t xml:space="preserve">and new analysis on the measurement of industry labour volume levels and capital input have been </w:t>
      </w:r>
      <w:r w:rsidR="008D225C">
        <w:t>considered</w:t>
      </w:r>
      <w:r>
        <w:t xml:space="preserve">.  </w:t>
      </w:r>
    </w:p>
    <w:p w:rsidR="00D83470" w:rsidRPr="00F051D0" w:rsidRDefault="0004792B" w:rsidP="005A6F6A">
      <w:pPr>
        <w:pStyle w:val="BodyText"/>
      </w:pPr>
      <w:r>
        <w:t>The</w:t>
      </w:r>
      <w:r w:rsidR="005A6F6A">
        <w:t xml:space="preserve"> paper used as a starting </w:t>
      </w:r>
      <w:r>
        <w:t>point the</w:t>
      </w:r>
      <w:r w:rsidR="005A6F6A">
        <w:t xml:space="preserve"> wider coverage afforded by updates to official statistics in both New Zealand and Australia. Official statistics in both countries now cover approximately 80 percent of their respective economies. This means that there is a broader set of industries for which growth in productivity can be compared.  </w:t>
      </w:r>
      <w:r w:rsidR="00C57586">
        <w:t>Analysis in this paper focused on productivity</w:t>
      </w:r>
      <w:r w:rsidR="005F14EE">
        <w:t xml:space="preserve"> growth</w:t>
      </w:r>
      <w:r w:rsidR="00C57586">
        <w:t xml:space="preserve"> from </w:t>
      </w:r>
      <w:r w:rsidR="005A6F6A">
        <w:t xml:space="preserve">1996 </w:t>
      </w:r>
      <w:r w:rsidR="0073701C">
        <w:t xml:space="preserve">onwards, </w:t>
      </w:r>
      <w:r w:rsidR="005A6F6A">
        <w:t>as this is the point for which the broader measured sector statistics</w:t>
      </w:r>
      <w:r w:rsidR="005F14EE">
        <w:t xml:space="preserve"> are</w:t>
      </w:r>
      <w:r w:rsidR="005A6F6A">
        <w:t xml:space="preserve"> available</w:t>
      </w:r>
      <w:r w:rsidR="005F14EE">
        <w:t xml:space="preserve"> for both countries</w:t>
      </w:r>
      <w:r w:rsidR="005A6F6A">
        <w:t xml:space="preserve">. </w:t>
      </w:r>
      <w:r w:rsidR="00F051D0">
        <w:t xml:space="preserve">Analysis in </w:t>
      </w:r>
      <w:r w:rsidR="00F051D0" w:rsidRPr="00427A9F">
        <w:rPr>
          <w:i/>
        </w:rPr>
        <w:t xml:space="preserve">Taking on the West Island: How does New Zealand’s </w:t>
      </w:r>
      <w:r w:rsidR="00F051D0" w:rsidRPr="00427A9F">
        <w:rPr>
          <w:i/>
        </w:rPr>
        <w:lastRenderedPageBreak/>
        <w:t>labour productivity stack up?</w:t>
      </w:r>
      <w:r w:rsidR="00F051D0">
        <w:rPr>
          <w:i/>
        </w:rPr>
        <w:t xml:space="preserve"> </w:t>
      </w:r>
      <w:r w:rsidR="00F051D0" w:rsidRPr="00BC77CB">
        <w:t>(Statistics NZ, 2010</w:t>
      </w:r>
      <w:r w:rsidR="002476FC">
        <w:t>b</w:t>
      </w:r>
      <w:r w:rsidR="00F051D0" w:rsidRPr="00BC77CB">
        <w:t xml:space="preserve">) also identified that the gap between </w:t>
      </w:r>
      <w:r w:rsidR="005A6F6A" w:rsidRPr="00BC77CB">
        <w:t>New Zealand and Australia labour productivity growth</w:t>
      </w:r>
      <w:r w:rsidR="00F051D0" w:rsidRPr="00BC77CB">
        <w:t xml:space="preserve"> began to widen in 1996</w:t>
      </w:r>
      <w:r w:rsidR="005A6F6A" w:rsidRPr="00BC77CB">
        <w:t>.</w:t>
      </w:r>
    </w:p>
    <w:p w:rsidR="005A6F6A" w:rsidRDefault="005F14EE" w:rsidP="005A6F6A">
      <w:pPr>
        <w:pStyle w:val="BodyText"/>
      </w:pPr>
      <w:r>
        <w:t>Statistics for t</w:t>
      </w:r>
      <w:r w:rsidR="005A6F6A">
        <w:t>he whole economy</w:t>
      </w:r>
      <w:r>
        <w:t xml:space="preserve"> (from the OECD)</w:t>
      </w:r>
      <w:r w:rsidR="005A6F6A">
        <w:t>,</w:t>
      </w:r>
      <w:r w:rsidR="00EB13C3">
        <w:t xml:space="preserve"> show</w:t>
      </w:r>
      <w:r w:rsidR="005A6F6A">
        <w:t xml:space="preserve"> Australia’s average annual labour productivity growth rate (1.</w:t>
      </w:r>
      <w:r>
        <w:t>6</w:t>
      </w:r>
      <w:r w:rsidR="005A6F6A">
        <w:t xml:space="preserve"> percent) was higher than New Zealand’s (1.2 percent) from 1996–2011. New Zealand does not fare well in official statistics either, with Statistics NZ’s (expanded) measured sector (1.4 percent per year) growing slower than the ABS’s MFP16 (2.0 percent per year).  </w:t>
      </w:r>
    </w:p>
    <w:p w:rsidR="003315D8" w:rsidRDefault="005A6F6A" w:rsidP="005A6F6A">
      <w:pPr>
        <w:pStyle w:val="BodyText"/>
      </w:pPr>
      <w:r>
        <w:t>The differences in economy</w:t>
      </w:r>
      <w:r w:rsidR="003315D8">
        <w:t>-</w:t>
      </w:r>
      <w:r>
        <w:t xml:space="preserve">wide productivity now seem to largely fall within industries in the measured sector (given the increased coverage of official statistics). This confirms some of the conclusions drawn by </w:t>
      </w:r>
      <w:r w:rsidR="003315D8">
        <w:t xml:space="preserve">analysis in </w:t>
      </w:r>
      <w:r w:rsidR="003315D8" w:rsidRPr="00427A9F">
        <w:rPr>
          <w:i/>
        </w:rPr>
        <w:t>Taking on the West Island: How does New Zealand’s labour productivity stack up?</w:t>
      </w:r>
      <w:r w:rsidR="003315D8">
        <w:rPr>
          <w:i/>
        </w:rPr>
        <w:t xml:space="preserve"> </w:t>
      </w:r>
      <w:proofErr w:type="gramStart"/>
      <w:r>
        <w:t>around</w:t>
      </w:r>
      <w:proofErr w:type="gramEnd"/>
      <w:r>
        <w:t xml:space="preserve"> the poor productivity growth of the business services industry in New Zealand.  </w:t>
      </w:r>
    </w:p>
    <w:p w:rsidR="004B204E" w:rsidRDefault="005A6F6A" w:rsidP="005A6F6A">
      <w:pPr>
        <w:pStyle w:val="BodyText"/>
      </w:pPr>
      <w:r>
        <w:t xml:space="preserve">A comparison of growth rates in this industry </w:t>
      </w:r>
      <w:r w:rsidR="00946E6C">
        <w:t xml:space="preserve">and </w:t>
      </w:r>
      <w:r>
        <w:t>its Australian counterpart is still not possible</w:t>
      </w:r>
      <w:r w:rsidR="00177EFD">
        <w:t>,</w:t>
      </w:r>
      <w:r>
        <w:t xml:space="preserve"> due to the change in industrial classification used by the ABS.  </w:t>
      </w:r>
      <w:r w:rsidR="004B204E">
        <w:t xml:space="preserve">Current data suggests that productivity growth in the New Zealand business services industry is lagging significantly behind its Australian equivalent. </w:t>
      </w:r>
      <w:r w:rsidR="007336C2">
        <w:t xml:space="preserve">However, </w:t>
      </w:r>
      <w:r>
        <w:t>Statistics NZ will update their productivity estimates to the same industrial classification in the second half of this year</w:t>
      </w:r>
      <w:r w:rsidR="007336C2">
        <w:t>. This will allow</w:t>
      </w:r>
      <w:r w:rsidR="006B7BE8">
        <w:t xml:space="preserve"> us</w:t>
      </w:r>
      <w:r w:rsidR="007336C2">
        <w:t xml:space="preserve"> to ma</w:t>
      </w:r>
      <w:r w:rsidR="005500FF">
        <w:t>ke more meaningful</w:t>
      </w:r>
      <w:r w:rsidR="006B7BE8">
        <w:t xml:space="preserve"> industry</w:t>
      </w:r>
      <w:r w:rsidR="005500FF">
        <w:t xml:space="preserve"> comparisons</w:t>
      </w:r>
      <w:r w:rsidR="006B7BE8">
        <w:t xml:space="preserve"> between the two countries</w:t>
      </w:r>
      <w:r>
        <w:t xml:space="preserve">.  </w:t>
      </w:r>
    </w:p>
    <w:p w:rsidR="00CC146B" w:rsidRDefault="005A6F6A" w:rsidP="00CC146B">
      <w:pPr>
        <w:pStyle w:val="BodyText"/>
      </w:pPr>
      <w:r>
        <w:t xml:space="preserve">Another issue that was prominent in </w:t>
      </w:r>
      <w:r w:rsidR="006B7BE8" w:rsidRPr="00427A9F">
        <w:rPr>
          <w:i/>
        </w:rPr>
        <w:t>Taking on the West Island: How does New Zealand’s labour productivity stack up?</w:t>
      </w:r>
      <w:r w:rsidR="006B7BE8">
        <w:rPr>
          <w:i/>
        </w:rPr>
        <w:t xml:space="preserve"> </w:t>
      </w:r>
      <w:r w:rsidR="006B7BE8" w:rsidRPr="00BC77CB">
        <w:t>(Statistics NZ, 2010</w:t>
      </w:r>
      <w:r w:rsidR="006B7BE8">
        <w:t>b</w:t>
      </w:r>
      <w:r w:rsidR="006B7BE8" w:rsidRPr="00BC77CB">
        <w:t>)</w:t>
      </w:r>
      <w:r w:rsidR="006B7BE8">
        <w:t xml:space="preserve"> </w:t>
      </w:r>
      <w:r>
        <w:t xml:space="preserve">was the choice of labour input, which was seen to explain a part </w:t>
      </w:r>
      <w:r w:rsidR="00B4478E">
        <w:t>of</w:t>
      </w:r>
      <w:r>
        <w:t xml:space="preserve"> the productivity puzzle.</w:t>
      </w:r>
      <w:r w:rsidR="00E46A00">
        <w:t xml:space="preserve"> </w:t>
      </w:r>
      <w:r w:rsidR="00CC146B">
        <w:t xml:space="preserve">While conceptually, </w:t>
      </w:r>
      <w:r w:rsidR="008A5EA9">
        <w:t>‘</w:t>
      </w:r>
      <w:r w:rsidR="00CC146B">
        <w:t>hours worked</w:t>
      </w:r>
      <w:r w:rsidR="008A5EA9">
        <w:t>’</w:t>
      </w:r>
      <w:r w:rsidR="00CC146B">
        <w:t xml:space="preserve"> remain the best measure of labour input for productivity, it appears that for the period from 1996–2011 growth in </w:t>
      </w:r>
      <w:r w:rsidR="007C123A">
        <w:t>‘</w:t>
      </w:r>
      <w:r w:rsidR="00CC146B">
        <w:t>hours paid</w:t>
      </w:r>
      <w:r w:rsidR="007C123A">
        <w:t>’</w:t>
      </w:r>
      <w:r w:rsidR="00CC146B">
        <w:t xml:space="preserve"> and </w:t>
      </w:r>
      <w:r w:rsidR="007C123A">
        <w:t>‘</w:t>
      </w:r>
      <w:r w:rsidR="00CC146B">
        <w:t>hours worked</w:t>
      </w:r>
      <w:r w:rsidR="007C123A">
        <w:t>’</w:t>
      </w:r>
      <w:r w:rsidR="00CC146B">
        <w:t xml:space="preserve"> for the </w:t>
      </w:r>
      <w:r w:rsidR="005966A5">
        <w:t xml:space="preserve">(expanded) </w:t>
      </w:r>
      <w:r w:rsidR="00CC146B">
        <w:t xml:space="preserve">measured sector </w:t>
      </w:r>
      <w:r w:rsidR="005966A5">
        <w:t>are roughly the same.</w:t>
      </w:r>
    </w:p>
    <w:p w:rsidR="00E46A00" w:rsidRDefault="005A6F6A" w:rsidP="005A6F6A">
      <w:pPr>
        <w:pStyle w:val="BodyText"/>
      </w:pPr>
      <w:r>
        <w:t>Statistics NZ have</w:t>
      </w:r>
      <w:r w:rsidR="00CC146B">
        <w:t xml:space="preserve"> also</w:t>
      </w:r>
      <w:r>
        <w:t xml:space="preserve"> completed a significant piece of work on industry labour input for productivity, </w:t>
      </w:r>
      <w:r w:rsidR="00152FB4">
        <w:t xml:space="preserve">and published </w:t>
      </w:r>
      <w:r w:rsidRPr="00BC77CB">
        <w:rPr>
          <w:i/>
        </w:rPr>
        <w:t>Labour Hours Paid for Productivity</w:t>
      </w:r>
      <w:r>
        <w:t xml:space="preserve"> in March 2012. </w:t>
      </w:r>
      <w:r w:rsidR="007A0FDB" w:rsidRPr="00427A9F">
        <w:rPr>
          <w:i/>
        </w:rPr>
        <w:t>Labour Hours Paid for Productivity</w:t>
      </w:r>
      <w:r w:rsidR="007A0FDB" w:rsidDel="007A0FDB">
        <w:t xml:space="preserve"> </w:t>
      </w:r>
      <w:r w:rsidR="00CC146B">
        <w:t xml:space="preserve">presented official levels of labour volume </w:t>
      </w:r>
      <w:r w:rsidR="007A0FDB">
        <w:t xml:space="preserve">that </w:t>
      </w:r>
      <w:r w:rsidR="00CC146B">
        <w:t xml:space="preserve">enabled the calculation of labour productivity levels for industries in New Zealand. </w:t>
      </w:r>
      <w:r w:rsidR="00A32667">
        <w:t>Trans-Tasman c</w:t>
      </w:r>
      <w:r w:rsidR="0075702E">
        <w:t>omparisons of labour productivity</w:t>
      </w:r>
      <w:r w:rsidR="00A32667">
        <w:t xml:space="preserve"> at the industry</w:t>
      </w:r>
      <w:r w:rsidR="0075702E">
        <w:t xml:space="preserve"> </w:t>
      </w:r>
      <w:r w:rsidR="00E328C3">
        <w:t xml:space="preserve">level </w:t>
      </w:r>
      <w:r w:rsidR="0075702E">
        <w:t xml:space="preserve">would be </w:t>
      </w:r>
      <w:r w:rsidR="00122AE3">
        <w:t>ideal, but</w:t>
      </w:r>
      <w:r w:rsidR="00297A53">
        <w:t xml:space="preserve"> this is complicated by</w:t>
      </w:r>
      <w:r w:rsidR="00E328C3">
        <w:t xml:space="preserve"> the lack of</w:t>
      </w:r>
      <w:r w:rsidR="00122AE3">
        <w:t xml:space="preserve"> industry</w:t>
      </w:r>
      <w:r w:rsidR="00297A53">
        <w:t>-</w:t>
      </w:r>
      <w:r w:rsidR="00122AE3">
        <w:t xml:space="preserve">level purchasing power parities. </w:t>
      </w:r>
    </w:p>
    <w:p w:rsidR="003E279A" w:rsidRDefault="003E279A" w:rsidP="003E279A">
      <w:pPr>
        <w:pStyle w:val="BodyText"/>
      </w:pPr>
      <w:r>
        <w:t>There are still some non-industry related methodological issues which contribute to the measurement puzzle between the two countries (i.e. FISIM and residential dwellings). Statistics NZ is currently addressing these differences.</w:t>
      </w:r>
    </w:p>
    <w:p w:rsidR="005A6F6A" w:rsidRDefault="003E279A" w:rsidP="005A6F6A">
      <w:pPr>
        <w:pStyle w:val="BodyText"/>
      </w:pPr>
      <w:r>
        <w:t>Finally, t</w:t>
      </w:r>
      <w:r w:rsidR="005A6F6A">
        <w:t>his paper included some initial analysis around the measurement of capital, examining some of the methodological differences between Statistics NZ, the ABS, and OECD. The impact of changing the industry and asset mix of Statistics NZ capital services estimates was tested, in an attempt to reconcile some of the difference with the OECD measures.</w:t>
      </w:r>
      <w:r w:rsidR="00122AE3">
        <w:t xml:space="preserve"> It is still not completely apparent why the OECD estimates of capital services for New Zealand grow a</w:t>
      </w:r>
      <w:r w:rsidR="009132B4">
        <w:t>t</w:t>
      </w:r>
      <w:r w:rsidR="00122AE3">
        <w:t xml:space="preserve"> such an accelerated rate. However, changing the asset and industry coverage of Statistics NZ capital services estimates did </w:t>
      </w:r>
      <w:r w:rsidR="00924A2C">
        <w:t xml:space="preserve">explain </w:t>
      </w:r>
      <w:r w:rsidR="00122AE3">
        <w:t xml:space="preserve">some of the difference between the two measures.  </w:t>
      </w:r>
    </w:p>
    <w:p w:rsidR="005A6F6A" w:rsidRDefault="00792748" w:rsidP="005A6F6A">
      <w:pPr>
        <w:pStyle w:val="BodyText"/>
      </w:pPr>
      <w:r>
        <w:t>Statistics NZ is still working to</w:t>
      </w:r>
      <w:r w:rsidR="005A6F6A">
        <w:t xml:space="preserve"> better understand differences in </w:t>
      </w:r>
      <w:r w:rsidR="00345808">
        <w:t xml:space="preserve">how </w:t>
      </w:r>
      <w:r w:rsidR="003E279A">
        <w:t xml:space="preserve">the </w:t>
      </w:r>
      <w:r w:rsidR="00122AE3">
        <w:t>ABS</w:t>
      </w:r>
      <w:r w:rsidR="00345808">
        <w:t xml:space="preserve"> and Statistics NZ measure capital</w:t>
      </w:r>
      <w:r w:rsidR="00804AFA">
        <w:t xml:space="preserve">. This </w:t>
      </w:r>
      <w:r w:rsidR="005A6F6A">
        <w:t>would better enable a breakdown of labour productivity into multifactor productivity and capital deepening</w:t>
      </w:r>
      <w:r w:rsidR="00122AE3">
        <w:t xml:space="preserve"> for comparison across the two countries</w:t>
      </w:r>
      <w:r w:rsidR="005A6F6A">
        <w:t xml:space="preserve">. This paper has provided the first steps towards better understanding why these differences exist, and </w:t>
      </w:r>
      <w:r w:rsidR="00C83051">
        <w:t>e</w:t>
      </w:r>
      <w:r w:rsidR="005A6F6A">
        <w:t>nabl</w:t>
      </w:r>
      <w:r w:rsidR="00C83051">
        <w:t>ing</w:t>
      </w:r>
      <w:r w:rsidR="005A6F6A">
        <w:t xml:space="preserve"> a harmonised comparison with Australia in the future.</w:t>
      </w:r>
    </w:p>
    <w:p w:rsidR="007C00DA" w:rsidRDefault="007C00DA">
      <w:pPr>
        <w:spacing w:after="0"/>
        <w:rPr>
          <w:rFonts w:eastAsia="Times New Roman"/>
          <w:bCs/>
          <w:snapToGrid w:val="0"/>
          <w:sz w:val="34"/>
          <w:szCs w:val="24"/>
          <w:lang w:val="en-GB"/>
        </w:rPr>
      </w:pPr>
      <w:r>
        <w:rPr>
          <w:snapToGrid w:val="0"/>
        </w:rPr>
        <w:br w:type="page"/>
      </w:r>
    </w:p>
    <w:p w:rsidR="00D013ED" w:rsidRDefault="00876724" w:rsidP="00876724">
      <w:pPr>
        <w:pStyle w:val="Heading2"/>
        <w:rPr>
          <w:snapToGrid w:val="0"/>
        </w:rPr>
      </w:pPr>
      <w:r w:rsidRPr="007A608F">
        <w:rPr>
          <w:snapToGrid w:val="0"/>
        </w:rPr>
        <w:lastRenderedPageBreak/>
        <w:t>R</w:t>
      </w:r>
      <w:r w:rsidRPr="007A608F">
        <w:t>e</w:t>
      </w:r>
      <w:r w:rsidRPr="007A608F">
        <w:rPr>
          <w:snapToGrid w:val="0"/>
        </w:rPr>
        <w:t>ferences</w:t>
      </w:r>
    </w:p>
    <w:p w:rsidR="008300CD" w:rsidRDefault="00424E22" w:rsidP="008300CD">
      <w:proofErr w:type="gramStart"/>
      <w:r>
        <w:t xml:space="preserve">Arnaud, B, </w:t>
      </w:r>
      <w:proofErr w:type="spellStart"/>
      <w:r>
        <w:t>Dupont</w:t>
      </w:r>
      <w:proofErr w:type="spellEnd"/>
      <w:r>
        <w:t xml:space="preserve">, J, </w:t>
      </w:r>
      <w:proofErr w:type="spellStart"/>
      <w:r>
        <w:t>Koh</w:t>
      </w:r>
      <w:proofErr w:type="spellEnd"/>
      <w:r>
        <w:t xml:space="preserve">, S, </w:t>
      </w:r>
      <w:r w:rsidR="008300CD">
        <w:t>and Schreyer, P (2011).</w:t>
      </w:r>
      <w:proofErr w:type="gramEnd"/>
      <w:r w:rsidR="008300CD">
        <w:t xml:space="preserve"> </w:t>
      </w:r>
      <w:proofErr w:type="gramStart"/>
      <w:r w:rsidR="008300CD" w:rsidRPr="008300CD">
        <w:rPr>
          <w:i/>
        </w:rPr>
        <w:t>Measuring multifactor productivity by industry: Methodology and first results from the OECD productivity database</w:t>
      </w:r>
      <w:r w:rsidR="008300CD">
        <w:t>.</w:t>
      </w:r>
      <w:proofErr w:type="gramEnd"/>
      <w:r w:rsidR="008300CD">
        <w:t xml:space="preserve"> Paris: O</w:t>
      </w:r>
      <w:r w:rsidR="00D2716B">
        <w:t xml:space="preserve">rganisation of </w:t>
      </w:r>
      <w:r w:rsidR="008300CD">
        <w:t>E</w:t>
      </w:r>
      <w:r w:rsidR="00D2716B">
        <w:t xml:space="preserve">conomic </w:t>
      </w:r>
      <w:r w:rsidR="008300CD">
        <w:t>C</w:t>
      </w:r>
      <w:r w:rsidR="00D2716B">
        <w:t xml:space="preserve">o-operation and </w:t>
      </w:r>
      <w:r w:rsidR="008300CD">
        <w:t>D</w:t>
      </w:r>
      <w:r w:rsidR="00D2716B">
        <w:t>evelopment</w:t>
      </w:r>
      <w:r w:rsidR="008300CD">
        <w:t>.</w:t>
      </w:r>
    </w:p>
    <w:p w:rsidR="00EF6A23" w:rsidRDefault="00EF6A23" w:rsidP="008300CD">
      <w:r w:rsidRPr="00EF6A23">
        <w:t>Guillemette</w:t>
      </w:r>
      <w:r w:rsidR="00345B43">
        <w:t xml:space="preserve">, </w:t>
      </w:r>
      <w:r w:rsidR="00DF6045">
        <w:t>Y</w:t>
      </w:r>
      <w:r w:rsidRPr="00EF6A23">
        <w:t xml:space="preserve"> (2009)</w:t>
      </w:r>
      <w:r w:rsidR="00DF6045">
        <w:t xml:space="preserve">. </w:t>
      </w:r>
      <w:r w:rsidR="00DF6045" w:rsidRPr="0054772B">
        <w:rPr>
          <w:i/>
        </w:rPr>
        <w:t>Structural policies to overcome geographic barriers and create prosperity in New Zealand</w:t>
      </w:r>
      <w:r w:rsidR="00711328">
        <w:t>.</w:t>
      </w:r>
      <w:r w:rsidR="00DF6045">
        <w:t xml:space="preserve"> </w:t>
      </w:r>
      <w:proofErr w:type="gramStart"/>
      <w:r w:rsidR="00B01E58">
        <w:t>(</w:t>
      </w:r>
      <w:r w:rsidR="00DF6045" w:rsidRPr="0054772B">
        <w:t>OECD Economics Department Working Papers</w:t>
      </w:r>
      <w:r w:rsidR="00DF6045">
        <w:rPr>
          <w:i/>
        </w:rPr>
        <w:t>,</w:t>
      </w:r>
      <w:r w:rsidR="00DF6045">
        <w:t xml:space="preserve"> No.696</w:t>
      </w:r>
      <w:r w:rsidR="00B01E58">
        <w:t>)</w:t>
      </w:r>
      <w:r w:rsidR="00DF6045">
        <w:t>.</w:t>
      </w:r>
      <w:proofErr w:type="gramEnd"/>
      <w:r w:rsidR="00DF6045">
        <w:t xml:space="preserve"> </w:t>
      </w:r>
    </w:p>
    <w:p w:rsidR="00DF6045" w:rsidRPr="0054772B" w:rsidRDefault="00DF6045" w:rsidP="00DF6045">
      <w:proofErr w:type="gramStart"/>
      <w:r w:rsidRPr="00EF6A23">
        <w:t>Hall</w:t>
      </w:r>
      <w:r>
        <w:t>, J, and Scobie, G</w:t>
      </w:r>
      <w:r w:rsidRPr="00EF6A23">
        <w:t xml:space="preserve"> (2005)</w:t>
      </w:r>
      <w:r>
        <w:t>.</w:t>
      </w:r>
      <w:proofErr w:type="gramEnd"/>
      <w:r>
        <w:t xml:space="preserve"> </w:t>
      </w:r>
      <w:r w:rsidRPr="0054772B">
        <w:rPr>
          <w:i/>
        </w:rPr>
        <w:t>Capital shallowness: A problem for New Zealand?</w:t>
      </w:r>
      <w:r>
        <w:t xml:space="preserve"> </w:t>
      </w:r>
      <w:proofErr w:type="gramStart"/>
      <w:r w:rsidR="00E31140">
        <w:t>(</w:t>
      </w:r>
      <w:r w:rsidRPr="0054772B">
        <w:t>New Zealand Treasury Working Paper, 05/05, June</w:t>
      </w:r>
      <w:r w:rsidR="00E31140">
        <w:t>)</w:t>
      </w:r>
      <w:r w:rsidRPr="0054772B">
        <w:t>.</w:t>
      </w:r>
      <w:proofErr w:type="gramEnd"/>
    </w:p>
    <w:p w:rsidR="00113440" w:rsidRDefault="00113440" w:rsidP="008300CD">
      <w:proofErr w:type="gramStart"/>
      <w:r>
        <w:t>I</w:t>
      </w:r>
      <w:r w:rsidR="004640B1">
        <w:t xml:space="preserve">nternational </w:t>
      </w:r>
      <w:r>
        <w:t>M</w:t>
      </w:r>
      <w:r w:rsidR="004640B1">
        <w:t xml:space="preserve">onetary Fund </w:t>
      </w:r>
      <w:r>
        <w:t>(2002)</w:t>
      </w:r>
      <w:r w:rsidR="007D741F">
        <w:t>.</w:t>
      </w:r>
      <w:proofErr w:type="gramEnd"/>
      <w:r w:rsidR="007D741F">
        <w:t xml:space="preserve"> </w:t>
      </w:r>
      <w:proofErr w:type="gramStart"/>
      <w:r w:rsidR="007D741F">
        <w:t>An exploration into the income divergence between New Zealand and Australia</w:t>
      </w:r>
      <w:r w:rsidR="0054772B">
        <w:t>.</w:t>
      </w:r>
      <w:proofErr w:type="gramEnd"/>
      <w:r w:rsidR="007D741F">
        <w:t xml:space="preserve"> </w:t>
      </w:r>
      <w:r w:rsidR="00B01E58">
        <w:t>(</w:t>
      </w:r>
      <w:r w:rsidR="007D741F">
        <w:t xml:space="preserve">Selected Issues papers, </w:t>
      </w:r>
      <w:r w:rsidR="007D741F" w:rsidRPr="0089032F">
        <w:t>IMF Country Report</w:t>
      </w:r>
      <w:r w:rsidR="00DF6045">
        <w:rPr>
          <w:i/>
        </w:rPr>
        <w:t>,</w:t>
      </w:r>
      <w:r w:rsidR="007D741F">
        <w:t xml:space="preserve"> No.02/72, </w:t>
      </w:r>
      <w:proofErr w:type="gramStart"/>
      <w:r w:rsidR="007D741F">
        <w:t>March</w:t>
      </w:r>
      <w:proofErr w:type="gramEnd"/>
      <w:r w:rsidR="00B01E58">
        <w:t>)</w:t>
      </w:r>
      <w:r w:rsidR="007D741F">
        <w:t xml:space="preserve">. </w:t>
      </w:r>
    </w:p>
    <w:p w:rsidR="002669F8" w:rsidRDefault="002669F8" w:rsidP="008300CD">
      <w:proofErr w:type="gramStart"/>
      <w:r>
        <w:t>Mason</w:t>
      </w:r>
      <w:r w:rsidR="007D741F">
        <w:t xml:space="preserve">, G, and Osborne, M </w:t>
      </w:r>
      <w:r>
        <w:t>(2007)</w:t>
      </w:r>
      <w:r w:rsidR="007D741F">
        <w:t>.</w:t>
      </w:r>
      <w:proofErr w:type="gramEnd"/>
      <w:r w:rsidR="007D741F">
        <w:t xml:space="preserve"> </w:t>
      </w:r>
      <w:proofErr w:type="gramStart"/>
      <w:r w:rsidR="007D741F" w:rsidRPr="0089032F">
        <w:rPr>
          <w:i/>
        </w:rPr>
        <w:t>Productivity, capital-intensity and labour quality at sector level in New Zealand and the UK</w:t>
      </w:r>
      <w:r w:rsidR="0054772B">
        <w:t>.</w:t>
      </w:r>
      <w:proofErr w:type="gramEnd"/>
      <w:r w:rsidR="007D741F">
        <w:t xml:space="preserve"> </w:t>
      </w:r>
      <w:proofErr w:type="gramStart"/>
      <w:r w:rsidR="00B01E58">
        <w:t>(</w:t>
      </w:r>
      <w:r w:rsidR="007D741F" w:rsidRPr="0089032F">
        <w:t>New Zealand Treasury Working Paper</w:t>
      </w:r>
      <w:r w:rsidR="00345B43">
        <w:rPr>
          <w:i/>
        </w:rPr>
        <w:t>,</w:t>
      </w:r>
      <w:r w:rsidR="007D741F">
        <w:t xml:space="preserve"> </w:t>
      </w:r>
      <w:r w:rsidR="00345B43">
        <w:t>0</w:t>
      </w:r>
      <w:r w:rsidR="007D741F">
        <w:t>7/01,</w:t>
      </w:r>
      <w:r w:rsidR="00345B43">
        <w:t xml:space="preserve"> March</w:t>
      </w:r>
      <w:r w:rsidR="00B01E58">
        <w:t>)</w:t>
      </w:r>
      <w:r w:rsidR="00345B43">
        <w:t>.</w:t>
      </w:r>
      <w:proofErr w:type="gramEnd"/>
      <w:r w:rsidR="007D741F">
        <w:t xml:space="preserve">  </w:t>
      </w:r>
    </w:p>
    <w:p w:rsidR="00DF6045" w:rsidRDefault="00DF6045" w:rsidP="008300CD">
      <w:proofErr w:type="gramStart"/>
      <w:r>
        <w:t>New Zealand Treasury (2008).</w:t>
      </w:r>
      <w:proofErr w:type="gramEnd"/>
      <w:r>
        <w:t xml:space="preserve"> </w:t>
      </w:r>
      <w:r w:rsidRPr="0089032F">
        <w:rPr>
          <w:i/>
        </w:rPr>
        <w:t>Investment, productivity and the cost of capital: Understanding New Zealand’s “Capital shallowness”</w:t>
      </w:r>
      <w:r w:rsidR="0010780E">
        <w:rPr>
          <w:i/>
        </w:rPr>
        <w:t>.</w:t>
      </w:r>
      <w:r>
        <w:t xml:space="preserve"> </w:t>
      </w:r>
      <w:proofErr w:type="gramStart"/>
      <w:r w:rsidR="00B01E58">
        <w:t>(</w:t>
      </w:r>
      <w:r w:rsidRPr="0089032F">
        <w:t>New Zealand Treasury Productivity Paper</w:t>
      </w:r>
      <w:r w:rsidRPr="0010780E">
        <w:t xml:space="preserve">, </w:t>
      </w:r>
      <w:r>
        <w:t>08/03, April</w:t>
      </w:r>
      <w:r w:rsidR="00B01E58">
        <w:t>)</w:t>
      </w:r>
      <w:r>
        <w:t>.</w:t>
      </w:r>
      <w:proofErr w:type="gramEnd"/>
      <w:r>
        <w:t xml:space="preserve"> </w:t>
      </w:r>
    </w:p>
    <w:p w:rsidR="00002341" w:rsidRDefault="00002341" w:rsidP="008300CD">
      <w:proofErr w:type="gramStart"/>
      <w:r>
        <w:t>NZIER (2011</w:t>
      </w:r>
      <w:r w:rsidR="00B01E58">
        <w:t>, September</w:t>
      </w:r>
      <w:r>
        <w:t>)</w:t>
      </w:r>
      <w:r w:rsidR="00345B43">
        <w:t>.</w:t>
      </w:r>
      <w:proofErr w:type="gramEnd"/>
      <w:r w:rsidR="00345B43">
        <w:t xml:space="preserve"> </w:t>
      </w:r>
      <w:r w:rsidR="00345B43" w:rsidRPr="00345B43">
        <w:rPr>
          <w:i/>
        </w:rPr>
        <w:t>Industry productivity and the Australia-New Zealand income gap</w:t>
      </w:r>
      <w:r w:rsidR="00345B43">
        <w:t>, NZIER public discussion document.</w:t>
      </w:r>
    </w:p>
    <w:p w:rsidR="008300CD" w:rsidRDefault="008300CD" w:rsidP="008300CD">
      <w:proofErr w:type="gramStart"/>
      <w:r>
        <w:t>O</w:t>
      </w:r>
      <w:r w:rsidR="00031E09">
        <w:t xml:space="preserve">rganisation of </w:t>
      </w:r>
      <w:r>
        <w:t>E</w:t>
      </w:r>
      <w:r w:rsidR="00031E09">
        <w:t xml:space="preserve">conomic </w:t>
      </w:r>
      <w:r>
        <w:t>C</w:t>
      </w:r>
      <w:r w:rsidR="00031E09">
        <w:t xml:space="preserve">o-operation and </w:t>
      </w:r>
      <w:r>
        <w:t>D</w:t>
      </w:r>
      <w:r w:rsidR="00031E09">
        <w:t>evelopment</w:t>
      </w:r>
      <w:r>
        <w:t xml:space="preserve"> (2001).</w:t>
      </w:r>
      <w:proofErr w:type="gramEnd"/>
      <w:r>
        <w:t xml:space="preserve">  </w:t>
      </w:r>
      <w:proofErr w:type="gramStart"/>
      <w:r w:rsidRPr="008300CD">
        <w:rPr>
          <w:i/>
        </w:rPr>
        <w:t>Measuring productivity: Measurement of aggregate and industry-level productivity growth.</w:t>
      </w:r>
      <w:proofErr w:type="gramEnd"/>
      <w:r>
        <w:t xml:space="preserve"> Paris: OECD.</w:t>
      </w:r>
    </w:p>
    <w:p w:rsidR="008300CD" w:rsidRDefault="008300CD" w:rsidP="008300CD">
      <w:r>
        <w:t xml:space="preserve">Parham, D (2012). </w:t>
      </w:r>
      <w:r w:rsidRPr="008300CD">
        <w:rPr>
          <w:i/>
        </w:rPr>
        <w:t>Australia's Productivity Growth Slump: Signs of Crisis, Adjustment or Both?</w:t>
      </w:r>
      <w:r>
        <w:t xml:space="preserve"> Australia: Australian Productivity Commission.</w:t>
      </w:r>
    </w:p>
    <w:p w:rsidR="008300CD" w:rsidRDefault="008300CD" w:rsidP="008300CD">
      <w:proofErr w:type="gramStart"/>
      <w:r>
        <w:t xml:space="preserve">Schreyer, P, </w:t>
      </w:r>
      <w:proofErr w:type="spellStart"/>
      <w:r>
        <w:t>Bignon</w:t>
      </w:r>
      <w:proofErr w:type="spellEnd"/>
      <w:r>
        <w:t xml:space="preserve">, P, and </w:t>
      </w:r>
      <w:proofErr w:type="spellStart"/>
      <w:r>
        <w:t>Dupont</w:t>
      </w:r>
      <w:proofErr w:type="spellEnd"/>
      <w:r>
        <w:t>, J (2003).</w:t>
      </w:r>
      <w:proofErr w:type="gramEnd"/>
      <w:r>
        <w:t xml:space="preserve"> </w:t>
      </w:r>
      <w:r w:rsidRPr="008300CD">
        <w:rPr>
          <w:i/>
        </w:rPr>
        <w:t>OECD capital services estimates: Methodology and a first set of results.</w:t>
      </w:r>
      <w:r>
        <w:t xml:space="preserve"> Paris: </w:t>
      </w:r>
      <w:r w:rsidR="00E74DBC">
        <w:t xml:space="preserve">Organisation of </w:t>
      </w:r>
      <w:r>
        <w:t>E</w:t>
      </w:r>
      <w:r w:rsidR="00E74DBC">
        <w:t xml:space="preserve">conomic </w:t>
      </w:r>
      <w:r>
        <w:t>C</w:t>
      </w:r>
      <w:r w:rsidR="00E74DBC">
        <w:t xml:space="preserve">o-operation and </w:t>
      </w:r>
      <w:r>
        <w:t>D</w:t>
      </w:r>
      <w:r w:rsidR="00E74DBC">
        <w:t>evelopment</w:t>
      </w:r>
      <w:r>
        <w:t>.</w:t>
      </w:r>
    </w:p>
    <w:p w:rsidR="00EF6A23" w:rsidRDefault="00EF6A23" w:rsidP="008300CD">
      <w:r w:rsidRPr="00EF6A23">
        <w:t>Schreyer</w:t>
      </w:r>
      <w:r w:rsidR="00345B43">
        <w:t>, P</w:t>
      </w:r>
      <w:r w:rsidRPr="00EF6A23">
        <w:t xml:space="preserve"> (2005</w:t>
      </w:r>
      <w:r>
        <w:t>)</w:t>
      </w:r>
      <w:r w:rsidR="00345B43">
        <w:t xml:space="preserve">. </w:t>
      </w:r>
      <w:r w:rsidR="00345B43" w:rsidRPr="00345B43">
        <w:rPr>
          <w:i/>
        </w:rPr>
        <w:t>International comparisons of levels of capital input and productivity</w:t>
      </w:r>
      <w:r w:rsidR="00345B43">
        <w:t>, OECD/</w:t>
      </w:r>
      <w:proofErr w:type="spellStart"/>
      <w:r w:rsidR="00345B43">
        <w:t>Ivie</w:t>
      </w:r>
      <w:proofErr w:type="spellEnd"/>
      <w:r w:rsidR="00345B43">
        <w:t>/BBVA workshop on productivity measurement, 17-19 October 2005, Madrid.</w:t>
      </w:r>
      <w:r w:rsidRPr="00EF6A23">
        <w:t xml:space="preserve"> </w:t>
      </w:r>
    </w:p>
    <w:p w:rsidR="008300CD" w:rsidRDefault="008300CD" w:rsidP="00755663">
      <w:proofErr w:type="gramStart"/>
      <w:r>
        <w:t>Statistics NZ (2010a).</w:t>
      </w:r>
      <w:proofErr w:type="gramEnd"/>
      <w:r>
        <w:t xml:space="preserve"> </w:t>
      </w:r>
      <w:proofErr w:type="gramStart"/>
      <w:r w:rsidRPr="008300CD">
        <w:rPr>
          <w:i/>
        </w:rPr>
        <w:t>Measuring capital stock in</w:t>
      </w:r>
      <w:r w:rsidR="00E328C3">
        <w:rPr>
          <w:i/>
        </w:rPr>
        <w:t xml:space="preserve"> the</w:t>
      </w:r>
      <w:r w:rsidRPr="008300CD">
        <w:rPr>
          <w:i/>
        </w:rPr>
        <w:t xml:space="preserve"> New Zealand</w:t>
      </w:r>
      <w:r w:rsidR="00E328C3">
        <w:rPr>
          <w:i/>
        </w:rPr>
        <w:t xml:space="preserve"> economy</w:t>
      </w:r>
      <w:r w:rsidRPr="008300CD">
        <w:rPr>
          <w:i/>
        </w:rPr>
        <w:t>.</w:t>
      </w:r>
      <w:proofErr w:type="gramEnd"/>
      <w:r w:rsidRPr="008300CD">
        <w:rPr>
          <w:i/>
        </w:rPr>
        <w:t xml:space="preserve"> </w:t>
      </w:r>
      <w:r>
        <w:t xml:space="preserve">Wellington: Statistics New Zealand.  Available from </w:t>
      </w:r>
      <w:hyperlink r:id="rId37" w:history="1">
        <w:r w:rsidR="00345B43" w:rsidRPr="00311B1D">
          <w:rPr>
            <w:rStyle w:val="Hyperlink"/>
          </w:rPr>
          <w:t>www.stats.govt.nz</w:t>
        </w:r>
      </w:hyperlink>
      <w:r w:rsidR="00345B43">
        <w:t xml:space="preserve"> </w:t>
      </w:r>
    </w:p>
    <w:p w:rsidR="00B01E58" w:rsidRDefault="00846FD3" w:rsidP="00876724">
      <w:proofErr w:type="gramStart"/>
      <w:r>
        <w:t>Statistics NZ (2010b).</w:t>
      </w:r>
      <w:proofErr w:type="gramEnd"/>
      <w:r>
        <w:t xml:space="preserve"> </w:t>
      </w:r>
      <w:r w:rsidRPr="008300CD">
        <w:rPr>
          <w:i/>
        </w:rPr>
        <w:t xml:space="preserve">Taking on the West Island: How does New Zealand’s labour productivity stack up? </w:t>
      </w:r>
      <w:r>
        <w:t xml:space="preserve">Wellington: Statistics New Zealand.  Available from </w:t>
      </w:r>
      <w:hyperlink r:id="rId38" w:history="1">
        <w:r w:rsidRPr="00311B1D">
          <w:rPr>
            <w:rStyle w:val="Hyperlink"/>
          </w:rPr>
          <w:t>www.stats.govt.nz</w:t>
        </w:r>
      </w:hyperlink>
      <w:r>
        <w:t xml:space="preserve">  </w:t>
      </w:r>
    </w:p>
    <w:p w:rsidR="00B01E58" w:rsidRDefault="00B01E58" w:rsidP="00876724">
      <w:proofErr w:type="gramStart"/>
      <w:r>
        <w:t>Statistics NZ (2011</w:t>
      </w:r>
      <w:r w:rsidRPr="008300CD">
        <w:rPr>
          <w:i/>
        </w:rPr>
        <w:t>).</w:t>
      </w:r>
      <w:proofErr w:type="gramEnd"/>
      <w:r w:rsidRPr="008300CD">
        <w:rPr>
          <w:i/>
        </w:rPr>
        <w:t xml:space="preserve"> Property services productivity: 1996–2009</w:t>
      </w:r>
      <w:r>
        <w:t xml:space="preserve">. Wellington: Statistics New Zealand.  </w:t>
      </w:r>
      <w:proofErr w:type="gramStart"/>
      <w:r>
        <w:t xml:space="preserve">Available from </w:t>
      </w:r>
      <w:hyperlink r:id="rId39" w:history="1">
        <w:r w:rsidRPr="00311B1D">
          <w:rPr>
            <w:rStyle w:val="Hyperlink"/>
          </w:rPr>
          <w:t>www.stats.govt.nz</w:t>
        </w:r>
      </w:hyperlink>
      <w:r>
        <w:rPr>
          <w:rStyle w:val="Hyperlink"/>
        </w:rPr>
        <w:t>.</w:t>
      </w:r>
      <w:proofErr w:type="gramEnd"/>
      <w:r>
        <w:t xml:space="preserve">  </w:t>
      </w:r>
    </w:p>
    <w:p w:rsidR="00B01E58" w:rsidRDefault="00B01E58" w:rsidP="00B01E58">
      <w:proofErr w:type="gramStart"/>
      <w:r>
        <w:t>Statistics NZ (2012a).</w:t>
      </w:r>
      <w:proofErr w:type="gramEnd"/>
      <w:r>
        <w:t xml:space="preserve"> </w:t>
      </w:r>
      <w:r w:rsidRPr="008300CD">
        <w:rPr>
          <w:i/>
        </w:rPr>
        <w:t>Productivity statistics: 1978–2011</w:t>
      </w:r>
      <w:r>
        <w:t xml:space="preserve">. Wellington: Statistics New Zealand.  Available from </w:t>
      </w:r>
      <w:hyperlink r:id="rId40" w:history="1">
        <w:r w:rsidRPr="00311B1D">
          <w:rPr>
            <w:rStyle w:val="Hyperlink"/>
          </w:rPr>
          <w:t>www.stats.govt.nz</w:t>
        </w:r>
      </w:hyperlink>
      <w:r>
        <w:t xml:space="preserve"> </w:t>
      </w:r>
    </w:p>
    <w:p w:rsidR="00B01E58" w:rsidRDefault="00B01E58" w:rsidP="00B01E58">
      <w:proofErr w:type="gramStart"/>
      <w:r>
        <w:t>Statistics NZ (2012b).</w:t>
      </w:r>
      <w:proofErr w:type="gramEnd"/>
      <w:r>
        <w:t xml:space="preserve"> </w:t>
      </w:r>
      <w:r w:rsidRPr="008300CD">
        <w:rPr>
          <w:i/>
        </w:rPr>
        <w:t>Industry productivity statistics: 1978–2010</w:t>
      </w:r>
      <w:r>
        <w:t>. Wellington: Statistics New Zealand.  Available from www.stats.govt.nz</w:t>
      </w:r>
    </w:p>
    <w:p w:rsidR="00B01E58" w:rsidRDefault="00B01E58" w:rsidP="00B01E58">
      <w:proofErr w:type="gramStart"/>
      <w:r>
        <w:t>Statistics NZ (2012c).</w:t>
      </w:r>
      <w:proofErr w:type="gramEnd"/>
      <w:r>
        <w:t xml:space="preserve"> </w:t>
      </w:r>
      <w:r w:rsidRPr="008300CD">
        <w:rPr>
          <w:i/>
        </w:rPr>
        <w:t>Labour hours paid for productivity.</w:t>
      </w:r>
      <w:r>
        <w:t xml:space="preserve"> Wellington: Statistics New Zealand.  Available from </w:t>
      </w:r>
      <w:hyperlink r:id="rId41" w:history="1">
        <w:r w:rsidRPr="00311B1D">
          <w:rPr>
            <w:rStyle w:val="Hyperlink"/>
          </w:rPr>
          <w:t>www.stats.govt.nz</w:t>
        </w:r>
      </w:hyperlink>
      <w:r>
        <w:t xml:space="preserve"> </w:t>
      </w:r>
    </w:p>
    <w:p w:rsidR="00B01E58" w:rsidRDefault="00B01E58" w:rsidP="00B01E58">
      <w:proofErr w:type="gramStart"/>
      <w:r>
        <w:t>Statistics NZ (2012d).</w:t>
      </w:r>
      <w:proofErr w:type="gramEnd"/>
      <w:r>
        <w:t xml:space="preserve"> </w:t>
      </w:r>
      <w:proofErr w:type="gramStart"/>
      <w:r w:rsidRPr="008300CD">
        <w:rPr>
          <w:i/>
        </w:rPr>
        <w:t>Productivity</w:t>
      </w:r>
      <w:r>
        <w:t xml:space="preserve"> </w:t>
      </w:r>
      <w:r w:rsidRPr="008300CD">
        <w:rPr>
          <w:i/>
        </w:rPr>
        <w:t>sources and methods (eighth edition).</w:t>
      </w:r>
      <w:proofErr w:type="gramEnd"/>
      <w:r>
        <w:t xml:space="preserve"> Wellington: Statistics New Zealand.  Available from </w:t>
      </w:r>
      <w:hyperlink r:id="rId42" w:history="1">
        <w:r w:rsidRPr="00A619E2">
          <w:rPr>
            <w:rStyle w:val="Hyperlink"/>
          </w:rPr>
          <w:t>www.stats.govt.nz</w:t>
        </w:r>
      </w:hyperlink>
    </w:p>
    <w:p w:rsidR="00B01E58" w:rsidRDefault="00B01E58" w:rsidP="00B01E58">
      <w:proofErr w:type="gramStart"/>
      <w:r>
        <w:t>Tipper, A, and Warmke, N (forthcoming).</w:t>
      </w:r>
      <w:proofErr w:type="gramEnd"/>
      <w:r>
        <w:t xml:space="preserve"> </w:t>
      </w:r>
      <w:r w:rsidRPr="00B44971">
        <w:rPr>
          <w:i/>
        </w:rPr>
        <w:t>Working hard or hardly working</w:t>
      </w:r>
      <w:r>
        <w:rPr>
          <w:i/>
        </w:rPr>
        <w:t>?</w:t>
      </w:r>
      <w:r w:rsidRPr="00B44971">
        <w:rPr>
          <w:i/>
        </w:rPr>
        <w:t xml:space="preserve"> </w:t>
      </w:r>
      <w:proofErr w:type="gramStart"/>
      <w:r>
        <w:rPr>
          <w:i/>
        </w:rPr>
        <w:t>A</w:t>
      </w:r>
      <w:r w:rsidRPr="00B44971">
        <w:rPr>
          <w:i/>
        </w:rPr>
        <w:t xml:space="preserve">djusting productivity statistics for variable capacity utilisation </w:t>
      </w:r>
      <w:r>
        <w:t>(working title).</w:t>
      </w:r>
      <w:proofErr w:type="gramEnd"/>
      <w:r>
        <w:t xml:space="preserve">  Wellington: Statistics New Zealand Working Paper Series</w:t>
      </w:r>
    </w:p>
    <w:p w:rsidR="008300CD" w:rsidRDefault="008300CD" w:rsidP="0087672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4971" w:rsidRPr="00B44971" w:rsidTr="00BC77CB">
        <w:trPr>
          <w:tblCellSpacing w:w="15" w:type="dxa"/>
        </w:trPr>
        <w:tc>
          <w:tcPr>
            <w:tcW w:w="0" w:type="auto"/>
          </w:tcPr>
          <w:p w:rsidR="00B44971" w:rsidRPr="00B44971" w:rsidRDefault="00B44971" w:rsidP="00B44971">
            <w:pPr>
              <w:spacing w:after="0"/>
              <w:rPr>
                <w:rFonts w:ascii="Tahoma" w:eastAsia="Times New Roman" w:hAnsi="Tahoma" w:cs="Tahoma"/>
                <w:sz w:val="16"/>
                <w:szCs w:val="16"/>
                <w:lang w:eastAsia="en-NZ"/>
              </w:rPr>
            </w:pPr>
          </w:p>
        </w:tc>
      </w:tr>
    </w:tbl>
    <w:p w:rsidR="008300CD" w:rsidRDefault="008300CD" w:rsidP="00BC77CB">
      <w:pPr>
        <w:spacing w:after="0"/>
      </w:pPr>
    </w:p>
    <w:sectPr w:rsidR="008300CD" w:rsidSect="006007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643" w:rsidRDefault="00B54643" w:rsidP="00D013ED">
      <w:pPr>
        <w:spacing w:after="0"/>
      </w:pPr>
      <w:r>
        <w:separator/>
      </w:r>
    </w:p>
  </w:endnote>
  <w:endnote w:type="continuationSeparator" w:id="0">
    <w:p w:rsidR="00B54643" w:rsidRDefault="00B54643" w:rsidP="00D013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äori">
    <w:altName w:val="Arial"/>
    <w:charset w:val="00"/>
    <w:family w:val="swiss"/>
    <w:pitch w:val="variable"/>
    <w:sig w:usb0="20002A87" w:usb1="80000000" w:usb2="00000008" w:usb3="00000000" w:csb0="000001FF" w:csb1="00000000"/>
  </w:font>
  <w:font w:name="STATSsans Regular">
    <w:altName w:val="Bell MT"/>
    <w:charset w:val="00"/>
    <w:family w:val="auto"/>
    <w:pitch w:val="variable"/>
    <w:sig w:usb0="00000003" w:usb1="40000048"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STATSsans Light">
    <w:altName w:val="Corbel"/>
    <w:charset w:val="00"/>
    <w:family w:val="auto"/>
    <w:pitch w:val="variable"/>
    <w:sig w:usb0="800000AF" w:usb1="4000004A" w:usb2="00000000" w:usb3="00000000" w:csb0="00000001" w:csb1="00000000"/>
  </w:font>
  <w:font w:name="StatsSans LightItalic">
    <w:altName w:val="Courier"/>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954"/>
      <w:docPartObj>
        <w:docPartGallery w:val="Page Numbers (Bottom of Page)"/>
        <w:docPartUnique/>
      </w:docPartObj>
    </w:sdtPr>
    <w:sdtEndPr/>
    <w:sdtContent>
      <w:p w:rsidR="00B54643" w:rsidRPr="001C7B2A" w:rsidRDefault="00B32F9D" w:rsidP="001C7B2A">
        <w:pPr>
          <w:pStyle w:val="Footer"/>
        </w:pPr>
        <w:r>
          <w:fldChar w:fldCharType="begin"/>
        </w:r>
        <w:r>
          <w:instrText xml:space="preserve"> PAGE   \* MERGEFORMAT </w:instrText>
        </w:r>
        <w:r>
          <w:fldChar w:fldCharType="separate"/>
        </w:r>
        <w: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643" w:rsidRDefault="00B54643" w:rsidP="00D013ED">
      <w:pPr>
        <w:spacing w:after="0"/>
      </w:pPr>
      <w:r>
        <w:separator/>
      </w:r>
    </w:p>
  </w:footnote>
  <w:footnote w:type="continuationSeparator" w:id="0">
    <w:p w:rsidR="00B54643" w:rsidRDefault="00B54643" w:rsidP="00D013ED">
      <w:pPr>
        <w:spacing w:after="0"/>
      </w:pPr>
      <w:r>
        <w:continuationSeparator/>
      </w:r>
    </w:p>
  </w:footnote>
  <w:footnote w:id="1">
    <w:p w:rsidR="00B54643" w:rsidRDefault="00B54643">
      <w:pPr>
        <w:pStyle w:val="FootnoteText"/>
      </w:pPr>
      <w:r w:rsidRPr="00D73E2A">
        <w:rPr>
          <w:rStyle w:val="FootnoteReference"/>
          <w:sz w:val="21"/>
          <w:szCs w:val="22"/>
        </w:rPr>
        <w:footnoteRef/>
      </w:r>
      <w:r w:rsidRPr="00D73E2A">
        <w:rPr>
          <w:sz w:val="21"/>
          <w:szCs w:val="22"/>
        </w:rPr>
        <w:t xml:space="preserve"> </w:t>
      </w:r>
      <w:r w:rsidRPr="008110FE">
        <w:rPr>
          <w:sz w:val="18"/>
          <w:szCs w:val="18"/>
        </w:rPr>
        <w:t>The ABS series are available on their website www.abs.gov.au.</w:t>
      </w:r>
    </w:p>
  </w:footnote>
  <w:footnote w:id="2">
    <w:p w:rsidR="00B54643" w:rsidRDefault="00B54643">
      <w:pPr>
        <w:pStyle w:val="FootnoteText"/>
      </w:pPr>
      <w:r>
        <w:rPr>
          <w:rStyle w:val="FootnoteReference"/>
        </w:rPr>
        <w:footnoteRef/>
      </w:r>
      <w:r>
        <w:t xml:space="preserve"> </w:t>
      </w:r>
      <w:r w:rsidRPr="00860EA0">
        <w:t xml:space="preserve">The effects of residential dwellings and Financial Intermediation Services Indirectly Measured (FISIM) are covered in the </w:t>
      </w:r>
      <w:r>
        <w:t>previous West Island paper.  An update on the work around these areas is provided in section 4.4</w:t>
      </w:r>
      <w:r w:rsidRPr="00860EA0">
        <w:t xml:space="preserve">.  </w:t>
      </w:r>
    </w:p>
  </w:footnote>
  <w:footnote w:id="3">
    <w:p w:rsidR="00B54643" w:rsidRDefault="00B54643">
      <w:pPr>
        <w:pStyle w:val="FootnoteText"/>
      </w:pPr>
      <w:r>
        <w:rPr>
          <w:rStyle w:val="FootnoteReference"/>
        </w:rPr>
        <w:footnoteRef/>
      </w:r>
      <w:r>
        <w:t xml:space="preserve"> MFP12</w:t>
      </w:r>
      <w:r w:rsidR="00C23C50">
        <w:t xml:space="preserve"> </w:t>
      </w:r>
      <w:r>
        <w:t>excludes ANZSIC06 industries L, M, N, and S</w:t>
      </w:r>
      <w:r w:rsidR="00C23C50">
        <w:t xml:space="preserve"> in addition to the industries excluded from MFP16</w:t>
      </w:r>
      <w:r>
        <w:t>. See table 1 for more information.</w:t>
      </w:r>
    </w:p>
  </w:footnote>
  <w:footnote w:id="4">
    <w:p w:rsidR="00B54643" w:rsidRDefault="00B54643">
      <w:pPr>
        <w:pStyle w:val="FootnoteText"/>
      </w:pPr>
      <w:r>
        <w:rPr>
          <w:rStyle w:val="FootnoteReference"/>
        </w:rPr>
        <w:footnoteRef/>
      </w:r>
      <w:r>
        <w:t xml:space="preserve"> For more detail, see </w:t>
      </w:r>
      <w:r w:rsidRPr="00DB77C0">
        <w:rPr>
          <w:i/>
        </w:rPr>
        <w:t>Labour hours paid for productivity</w:t>
      </w:r>
      <w:r>
        <w:t xml:space="preserve"> (Statistics NZ, 2012c).</w:t>
      </w:r>
    </w:p>
  </w:footnote>
  <w:footnote w:id="5">
    <w:p w:rsidR="00B54643" w:rsidRDefault="00B54643">
      <w:pPr>
        <w:pStyle w:val="FootnoteText"/>
      </w:pPr>
      <w:r>
        <w:rPr>
          <w:rStyle w:val="FootnoteReference"/>
        </w:rPr>
        <w:footnoteRef/>
      </w:r>
      <w:r>
        <w:t xml:space="preserve"> For this comparison, ANZSIC96 industries were used for both countries to maintain consistency.</w:t>
      </w:r>
    </w:p>
  </w:footnote>
  <w:footnote w:id="6">
    <w:p w:rsidR="00B54643" w:rsidRDefault="00B54643">
      <w:pPr>
        <w:pStyle w:val="FootnoteText"/>
      </w:pPr>
      <w:r>
        <w:rPr>
          <w:rStyle w:val="FootnoteReference"/>
        </w:rPr>
        <w:footnoteRef/>
      </w:r>
      <w:r>
        <w:t xml:space="preserve"> </w:t>
      </w:r>
      <w:r w:rsidRPr="00EC22D3">
        <w:t xml:space="preserve">These enhancements incorporated data from </w:t>
      </w:r>
      <w:r>
        <w:t>Statistics NZ’s</w:t>
      </w:r>
      <w:r w:rsidRPr="00EC22D3">
        <w:t xml:space="preserve"> Annual Enterprise Survey, to which the commercial property industry was added in 2004. See </w:t>
      </w:r>
      <w:r w:rsidRPr="005F7B58">
        <w:rPr>
          <w:i/>
        </w:rPr>
        <w:t>Improvements to the Annual National Accounts</w:t>
      </w:r>
      <w:r>
        <w:rPr>
          <w:i/>
        </w:rPr>
        <w:t xml:space="preserve"> </w:t>
      </w:r>
      <w:r w:rsidRPr="005F7B58">
        <w:t>for further detail (available from www.stats.govt.nz).</w:t>
      </w:r>
    </w:p>
  </w:footnote>
  <w:footnote w:id="7">
    <w:p w:rsidR="00B54643" w:rsidRDefault="00B54643">
      <w:pPr>
        <w:pStyle w:val="FootnoteText"/>
      </w:pPr>
      <w:r>
        <w:rPr>
          <w:rStyle w:val="FootnoteReference"/>
        </w:rPr>
        <w:footnoteRef/>
      </w:r>
      <w:r>
        <w:t xml:space="preserve"> </w:t>
      </w:r>
      <w:r w:rsidRPr="00EC22D3">
        <w:t>A production process cannot take place without a physical location, whether that land is rented or owned. Residential land enables the production of output, in the form of the services provided by a rented residential dwelling. All industries within the measured sector have one or more land types feeding in as a capital input.</w:t>
      </w:r>
    </w:p>
  </w:footnote>
  <w:footnote w:id="8">
    <w:p w:rsidR="00B54643" w:rsidRDefault="00B54643">
      <w:pPr>
        <w:pStyle w:val="FootnoteText"/>
      </w:pPr>
      <w:r>
        <w:rPr>
          <w:rStyle w:val="FootnoteReference"/>
        </w:rPr>
        <w:footnoteRef/>
      </w:r>
      <w:r>
        <w:t xml:space="preserve"> The ‘</w:t>
      </w:r>
      <w:r w:rsidRPr="00EC22D3">
        <w:t>Land development and subdivision</w:t>
      </w:r>
      <w:r>
        <w:t>’ industry</w:t>
      </w:r>
      <w:r w:rsidRPr="00EC22D3">
        <w:t xml:space="preserve"> moves from ANZSIC96 division L to division E</w:t>
      </w:r>
      <w:r>
        <w:t>.</w:t>
      </w:r>
    </w:p>
  </w:footnote>
  <w:footnote w:id="9">
    <w:p w:rsidR="00B54643" w:rsidRDefault="00B54643">
      <w:pPr>
        <w:pStyle w:val="FootnoteText"/>
      </w:pPr>
      <w:r>
        <w:rPr>
          <w:rStyle w:val="FootnoteReference"/>
        </w:rPr>
        <w:footnoteRef/>
      </w:r>
      <w:r>
        <w:t xml:space="preserve"> </w:t>
      </w:r>
      <w:r w:rsidRPr="00320A4B">
        <w:t xml:space="preserve">Central government </w:t>
      </w:r>
      <w:r>
        <w:t xml:space="preserve">and </w:t>
      </w:r>
      <w:r w:rsidRPr="00320A4B">
        <w:t>local government roading, from the ANZSIC</w:t>
      </w:r>
      <w:r>
        <w:t>96</w:t>
      </w:r>
      <w:r w:rsidRPr="00320A4B">
        <w:t xml:space="preserve"> industry ‘</w:t>
      </w:r>
      <w:r>
        <w:t>g</w:t>
      </w:r>
      <w:r w:rsidRPr="00320A4B">
        <w:t xml:space="preserve">overnment </w:t>
      </w:r>
      <w:r>
        <w:t>a</w:t>
      </w:r>
      <w:r w:rsidRPr="00320A4B">
        <w:t xml:space="preserve">dministration and </w:t>
      </w:r>
      <w:r>
        <w:t>d</w:t>
      </w:r>
      <w:r w:rsidRPr="00320A4B">
        <w:t>efence’ (ANZSIC</w:t>
      </w:r>
      <w:r>
        <w:t>96</w:t>
      </w:r>
      <w:r w:rsidRPr="00320A4B">
        <w:t xml:space="preserve"> division M), are assets excluded from the measured sector. None of the </w:t>
      </w:r>
      <w:r>
        <w:t xml:space="preserve">measured sector </w:t>
      </w:r>
      <w:r w:rsidRPr="00320A4B">
        <w:t>industries bears the cost of using these assets, which are essentially public goods in the sense that they are non-excludable and non-rival in consumption.  The roading network, like other public goods, does not represent a capital asset with an allocable user cost.  Rather, its existence enhances the facility of other transport equipment assets and is absorbed into the calculated multifactor productivity residual.</w:t>
      </w:r>
    </w:p>
  </w:footnote>
  <w:footnote w:id="10">
    <w:p w:rsidR="00B54643" w:rsidRDefault="00B54643" w:rsidP="005539FD">
      <w:pPr>
        <w:pStyle w:val="FootnoteText"/>
      </w:pPr>
      <w:r>
        <w:rPr>
          <w:rStyle w:val="FootnoteReference"/>
        </w:rPr>
        <w:footnoteRef/>
      </w:r>
      <w:r>
        <w:t xml:space="preserve"> Tipper and Warmke (forthcoming) test this assumption in a New Zealand context and find there is little to no impact on MFP growth in the long term, when capital stocks are adjusted for variable capacity utilisation. </w:t>
      </w:r>
    </w:p>
  </w:footnote>
  <w:footnote w:id="11">
    <w:p w:rsidR="00B54643" w:rsidRDefault="00B54643">
      <w:pPr>
        <w:pStyle w:val="FootnoteText"/>
      </w:pPr>
      <w:r>
        <w:rPr>
          <w:rStyle w:val="FootnoteReference"/>
        </w:rPr>
        <w:footnoteRef/>
      </w:r>
      <w:r>
        <w:t xml:space="preserve"> </w:t>
      </w:r>
      <w:r w:rsidRPr="00320A4B">
        <w:t xml:space="preserve">For more detail on how capital input indexes are calculated for use in productivity measurement, see </w:t>
      </w:r>
      <w:r w:rsidRPr="008110FE">
        <w:rPr>
          <w:i/>
        </w:rPr>
        <w:t>Productivity Sources and Methods</w:t>
      </w:r>
      <w:r w:rsidRPr="00320A4B">
        <w:t xml:space="preserve"> (2012). A comprehensive description of Statistic NZ’s PIM is provided in </w:t>
      </w:r>
      <w:r w:rsidRPr="008110FE">
        <w:rPr>
          <w:i/>
        </w:rPr>
        <w:t>Measuring Capital Stock in the New Zealand Economy</w:t>
      </w:r>
      <w:r w:rsidRPr="00320A4B">
        <w:t xml:space="preserve"> (Statistics NZ</w:t>
      </w:r>
      <w:r>
        <w:t>,</w:t>
      </w:r>
      <w:r w:rsidRPr="00320A4B">
        <w:t xml:space="preserve"> 2008).</w:t>
      </w:r>
    </w:p>
  </w:footnote>
  <w:footnote w:id="12">
    <w:p w:rsidR="00B54643" w:rsidRDefault="00B54643">
      <w:pPr>
        <w:pStyle w:val="FootnoteText"/>
      </w:pPr>
      <w:r>
        <w:rPr>
          <w:rStyle w:val="FootnoteReference"/>
        </w:rPr>
        <w:footnoteRef/>
      </w:r>
      <w:r>
        <w:t xml:space="preserve"> </w:t>
      </w:r>
      <w:r w:rsidRPr="00320A4B">
        <w:t xml:space="preserve">For more information on the compilation of capital stocks and estimates of aggregate capital services by the OECD see Schreyer, </w:t>
      </w:r>
      <w:proofErr w:type="spellStart"/>
      <w:r w:rsidRPr="00320A4B">
        <w:t>Bignon</w:t>
      </w:r>
      <w:proofErr w:type="spellEnd"/>
      <w:r w:rsidRPr="00320A4B">
        <w:t xml:space="preserve"> and </w:t>
      </w:r>
      <w:proofErr w:type="spellStart"/>
      <w:r w:rsidRPr="00320A4B">
        <w:t>Dupont</w:t>
      </w:r>
      <w:proofErr w:type="spellEnd"/>
      <w:r w:rsidRPr="00320A4B">
        <w:t xml:space="preserve"> (2003). For industry estimates see Arnaud, </w:t>
      </w:r>
      <w:proofErr w:type="spellStart"/>
      <w:r>
        <w:t>Dupont</w:t>
      </w:r>
      <w:proofErr w:type="spellEnd"/>
      <w:r>
        <w:t xml:space="preserve">, </w:t>
      </w:r>
      <w:proofErr w:type="spellStart"/>
      <w:r>
        <w:t>Koh</w:t>
      </w:r>
      <w:proofErr w:type="spellEnd"/>
      <w:r>
        <w:t xml:space="preserve"> and Schreyer (2011).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43" w:rsidRPr="000D5064" w:rsidRDefault="00B54643" w:rsidP="000D5064">
    <w:pPr>
      <w:pStyle w:val="Header"/>
      <w:jc w:val="right"/>
    </w:pPr>
    <w:r>
      <w:t>Taking on the West Island: Steps towards levelling the playing field, by Nicholas Warmke and John Janssen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B02"/>
    <w:multiLevelType w:val="hybridMultilevel"/>
    <w:tmpl w:val="727A4D22"/>
    <w:lvl w:ilvl="0" w:tplc="9EEE86F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6DB201E"/>
    <w:multiLevelType w:val="hybridMultilevel"/>
    <w:tmpl w:val="C2222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7F90F62"/>
    <w:multiLevelType w:val="singleLevel"/>
    <w:tmpl w:val="BD145976"/>
    <w:lvl w:ilvl="0">
      <w:start w:val="1"/>
      <w:numFmt w:val="bullet"/>
      <w:lvlText w:val="·"/>
      <w:lvlJc w:val="left"/>
      <w:pPr>
        <w:tabs>
          <w:tab w:val="num" w:pos="850"/>
        </w:tabs>
        <w:ind w:left="850" w:hanging="408"/>
      </w:pPr>
      <w:rPr>
        <w:rFonts w:ascii="Symbol" w:hAnsi="Symbol" w:cs="Times New Roman" w:hint="default"/>
        <w:b w:val="0"/>
        <w:i w:val="0"/>
        <w:sz w:val="22"/>
      </w:rPr>
    </w:lvl>
  </w:abstractNum>
  <w:abstractNum w:abstractNumId="3">
    <w:nsid w:val="0AD42AFD"/>
    <w:multiLevelType w:val="hybridMultilevel"/>
    <w:tmpl w:val="B7107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63A7205"/>
    <w:multiLevelType w:val="hybridMultilevel"/>
    <w:tmpl w:val="0AE66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3110710"/>
    <w:multiLevelType w:val="hybridMultilevel"/>
    <w:tmpl w:val="353829A4"/>
    <w:lvl w:ilvl="0" w:tplc="70A250EE">
      <w:start w:val="1"/>
      <w:numFmt w:val="bullet"/>
      <w:pStyle w:val="SNZreportbullet2"/>
      <w:lvlText w:val=""/>
      <w:lvlJc w:val="left"/>
      <w:pPr>
        <w:ind w:left="1004" w:hanging="360"/>
      </w:pPr>
      <w:rPr>
        <w:rFonts w:ascii="Symbol" w:hAnsi="Symbol" w:hint="default"/>
        <w:sz w:val="16"/>
      </w:rPr>
    </w:lvl>
    <w:lvl w:ilvl="1" w:tplc="374CD316" w:tentative="1">
      <w:start w:val="1"/>
      <w:numFmt w:val="bullet"/>
      <w:lvlText w:val="o"/>
      <w:lvlJc w:val="left"/>
      <w:pPr>
        <w:ind w:left="1724" w:hanging="360"/>
      </w:pPr>
      <w:rPr>
        <w:rFonts w:ascii="Courier New" w:hAnsi="Courier New" w:cs="Courier New" w:hint="default"/>
      </w:rPr>
    </w:lvl>
    <w:lvl w:ilvl="2" w:tplc="A970BA66" w:tentative="1">
      <w:start w:val="1"/>
      <w:numFmt w:val="bullet"/>
      <w:lvlText w:val=""/>
      <w:lvlJc w:val="left"/>
      <w:pPr>
        <w:ind w:left="2444" w:hanging="360"/>
      </w:pPr>
      <w:rPr>
        <w:rFonts w:ascii="Wingdings" w:hAnsi="Wingdings" w:hint="default"/>
      </w:rPr>
    </w:lvl>
    <w:lvl w:ilvl="3" w:tplc="7BAAC51A" w:tentative="1">
      <w:start w:val="1"/>
      <w:numFmt w:val="bullet"/>
      <w:lvlText w:val=""/>
      <w:lvlJc w:val="left"/>
      <w:pPr>
        <w:ind w:left="3164" w:hanging="360"/>
      </w:pPr>
      <w:rPr>
        <w:rFonts w:ascii="Symbol" w:hAnsi="Symbol" w:hint="default"/>
      </w:rPr>
    </w:lvl>
    <w:lvl w:ilvl="4" w:tplc="F4F02842" w:tentative="1">
      <w:start w:val="1"/>
      <w:numFmt w:val="bullet"/>
      <w:lvlText w:val="o"/>
      <w:lvlJc w:val="left"/>
      <w:pPr>
        <w:ind w:left="3884" w:hanging="360"/>
      </w:pPr>
      <w:rPr>
        <w:rFonts w:ascii="Courier New" w:hAnsi="Courier New" w:cs="Courier New" w:hint="default"/>
      </w:rPr>
    </w:lvl>
    <w:lvl w:ilvl="5" w:tplc="C546946E" w:tentative="1">
      <w:start w:val="1"/>
      <w:numFmt w:val="bullet"/>
      <w:lvlText w:val=""/>
      <w:lvlJc w:val="left"/>
      <w:pPr>
        <w:ind w:left="4604" w:hanging="360"/>
      </w:pPr>
      <w:rPr>
        <w:rFonts w:ascii="Wingdings" w:hAnsi="Wingdings" w:hint="default"/>
      </w:rPr>
    </w:lvl>
    <w:lvl w:ilvl="6" w:tplc="AC441D72" w:tentative="1">
      <w:start w:val="1"/>
      <w:numFmt w:val="bullet"/>
      <w:lvlText w:val=""/>
      <w:lvlJc w:val="left"/>
      <w:pPr>
        <w:ind w:left="5324" w:hanging="360"/>
      </w:pPr>
      <w:rPr>
        <w:rFonts w:ascii="Symbol" w:hAnsi="Symbol" w:hint="default"/>
      </w:rPr>
    </w:lvl>
    <w:lvl w:ilvl="7" w:tplc="01A43254" w:tentative="1">
      <w:start w:val="1"/>
      <w:numFmt w:val="bullet"/>
      <w:lvlText w:val="o"/>
      <w:lvlJc w:val="left"/>
      <w:pPr>
        <w:ind w:left="6044" w:hanging="360"/>
      </w:pPr>
      <w:rPr>
        <w:rFonts w:ascii="Courier New" w:hAnsi="Courier New" w:cs="Courier New" w:hint="default"/>
      </w:rPr>
    </w:lvl>
    <w:lvl w:ilvl="8" w:tplc="4378D93E" w:tentative="1">
      <w:start w:val="1"/>
      <w:numFmt w:val="bullet"/>
      <w:lvlText w:val=""/>
      <w:lvlJc w:val="left"/>
      <w:pPr>
        <w:ind w:left="6764" w:hanging="360"/>
      </w:pPr>
      <w:rPr>
        <w:rFonts w:ascii="Wingdings" w:hAnsi="Wingdings" w:hint="default"/>
      </w:rPr>
    </w:lvl>
  </w:abstractNum>
  <w:abstractNum w:abstractNumId="6">
    <w:nsid w:val="25FD0FAC"/>
    <w:multiLevelType w:val="hybridMultilevel"/>
    <w:tmpl w:val="F7E842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27F6320"/>
    <w:multiLevelType w:val="hybridMultilevel"/>
    <w:tmpl w:val="0308B49A"/>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36A10803"/>
    <w:multiLevelType w:val="hybridMultilevel"/>
    <w:tmpl w:val="19C877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8F30ECA"/>
    <w:multiLevelType w:val="hybridMultilevel"/>
    <w:tmpl w:val="7CDEBB34"/>
    <w:lvl w:ilvl="0" w:tplc="4768F21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3BC230DE"/>
    <w:multiLevelType w:val="multilevel"/>
    <w:tmpl w:val="CBA4FDE8"/>
    <w:lvl w:ilvl="0">
      <w:start w:val="1"/>
      <w:numFmt w:val="decimal"/>
      <w:pStyle w:val="ListNumber"/>
      <w:lvlText w:val="%1."/>
      <w:lvlJc w:val="left"/>
      <w:pPr>
        <w:tabs>
          <w:tab w:val="num" w:pos="1088"/>
        </w:tabs>
        <w:ind w:left="1088" w:hanging="408"/>
      </w:pPr>
      <w:rPr>
        <w:rFonts w:hint="default"/>
      </w:rPr>
    </w:lvl>
    <w:lvl w:ilvl="1">
      <w:start w:val="1"/>
      <w:numFmt w:val="decimal"/>
      <w:pStyle w:val="ListNumber2"/>
      <w:lvlText w:val="%2."/>
      <w:lvlJc w:val="left"/>
      <w:pPr>
        <w:tabs>
          <w:tab w:val="num" w:pos="1429"/>
        </w:tabs>
        <w:ind w:left="1429" w:hanging="341"/>
      </w:pPr>
      <w:rPr>
        <w:rFonts w:hint="default"/>
      </w:rPr>
    </w:lvl>
    <w:lvl w:ilvl="2">
      <w:start w:val="1"/>
      <w:numFmt w:val="decimal"/>
      <w:pStyle w:val="ListNumber3"/>
      <w:lvlText w:val="%3."/>
      <w:lvlJc w:val="left"/>
      <w:pPr>
        <w:tabs>
          <w:tab w:val="num" w:pos="1712"/>
        </w:tabs>
        <w:ind w:left="1712" w:hanging="340"/>
      </w:pPr>
      <w:rPr>
        <w:rFonts w:hint="default"/>
      </w:rPr>
    </w:lvl>
    <w:lvl w:ilvl="3">
      <w:start w:val="1"/>
      <w:numFmt w:val="decimal"/>
      <w:pStyle w:val="ListNumber4"/>
      <w:lvlText w:val="%4."/>
      <w:lvlJc w:val="left"/>
      <w:pPr>
        <w:tabs>
          <w:tab w:val="num" w:pos="1995"/>
        </w:tabs>
        <w:ind w:left="1995" w:hanging="340"/>
      </w:pPr>
      <w:rPr>
        <w:rFonts w:hint="default"/>
      </w:rPr>
    </w:lvl>
    <w:lvl w:ilvl="4">
      <w:start w:val="1"/>
      <w:numFmt w:val="decimal"/>
      <w:pStyle w:val="ListNumber5"/>
      <w:lvlText w:val="%5."/>
      <w:lvlJc w:val="left"/>
      <w:pPr>
        <w:tabs>
          <w:tab w:val="num" w:pos="2279"/>
        </w:tabs>
        <w:ind w:left="2279" w:hanging="340"/>
      </w:pPr>
      <w:rPr>
        <w:rFonts w:hint="default"/>
      </w:rPr>
    </w:lvl>
    <w:lvl w:ilvl="5">
      <w:start w:val="1"/>
      <w:numFmt w:val="lowerRoman"/>
      <w:lvlText w:val="(%6)"/>
      <w:lvlJc w:val="left"/>
      <w:pPr>
        <w:tabs>
          <w:tab w:val="num" w:pos="2398"/>
        </w:tabs>
        <w:ind w:left="2398" w:hanging="360"/>
      </w:pPr>
      <w:rPr>
        <w:rFonts w:hint="default"/>
      </w:rPr>
    </w:lvl>
    <w:lvl w:ilvl="6">
      <w:start w:val="1"/>
      <w:numFmt w:val="decimal"/>
      <w:lvlText w:val="%7."/>
      <w:lvlJc w:val="left"/>
      <w:pPr>
        <w:tabs>
          <w:tab w:val="num" w:pos="2758"/>
        </w:tabs>
        <w:ind w:left="2758" w:hanging="360"/>
      </w:pPr>
      <w:rPr>
        <w:rFonts w:hint="default"/>
      </w:rPr>
    </w:lvl>
    <w:lvl w:ilvl="7">
      <w:start w:val="1"/>
      <w:numFmt w:val="lowerLetter"/>
      <w:lvlText w:val="%8."/>
      <w:lvlJc w:val="left"/>
      <w:pPr>
        <w:tabs>
          <w:tab w:val="num" w:pos="3118"/>
        </w:tabs>
        <w:ind w:left="3118" w:hanging="360"/>
      </w:pPr>
      <w:rPr>
        <w:rFonts w:hint="default"/>
      </w:rPr>
    </w:lvl>
    <w:lvl w:ilvl="8">
      <w:start w:val="1"/>
      <w:numFmt w:val="lowerRoman"/>
      <w:lvlText w:val="%9."/>
      <w:lvlJc w:val="left"/>
      <w:pPr>
        <w:tabs>
          <w:tab w:val="num" w:pos="3478"/>
        </w:tabs>
        <w:ind w:left="3478" w:hanging="360"/>
      </w:pPr>
      <w:rPr>
        <w:rFonts w:hint="default"/>
      </w:rPr>
    </w:lvl>
  </w:abstractNum>
  <w:abstractNum w:abstractNumId="11">
    <w:nsid w:val="4FED0A67"/>
    <w:multiLevelType w:val="hybridMultilevel"/>
    <w:tmpl w:val="A1C8FB94"/>
    <w:lvl w:ilvl="0" w:tplc="9D484506">
      <w:start w:val="1"/>
      <w:numFmt w:val="bullet"/>
      <w:pStyle w:val="SNZreportbullet1"/>
      <w:lvlText w:val=""/>
      <w:lvlJc w:val="left"/>
      <w:pPr>
        <w:ind w:left="720" w:hanging="360"/>
      </w:pPr>
      <w:rPr>
        <w:rFonts w:ascii="Symbol" w:hAnsi="Symbol"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541C0874"/>
    <w:multiLevelType w:val="hybridMultilevel"/>
    <w:tmpl w:val="EB3045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68B5E65"/>
    <w:multiLevelType w:val="hybridMultilevel"/>
    <w:tmpl w:val="43CEC1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D18074E"/>
    <w:multiLevelType w:val="hybridMultilevel"/>
    <w:tmpl w:val="F4A2A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6ECE2840"/>
    <w:multiLevelType w:val="hybridMultilevel"/>
    <w:tmpl w:val="4CD28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10"/>
  </w:num>
  <w:num w:numId="5">
    <w:abstractNumId w:val="15"/>
  </w:num>
  <w:num w:numId="6">
    <w:abstractNumId w:val="7"/>
  </w:num>
  <w:num w:numId="7">
    <w:abstractNumId w:val="4"/>
  </w:num>
  <w:num w:numId="8">
    <w:abstractNumId w:val="1"/>
  </w:num>
  <w:num w:numId="9">
    <w:abstractNumId w:val="8"/>
  </w:num>
  <w:num w:numId="10">
    <w:abstractNumId w:val="9"/>
  </w:num>
  <w:num w:numId="11">
    <w:abstractNumId w:val="0"/>
  </w:num>
  <w:num w:numId="12">
    <w:abstractNumId w:val="13"/>
  </w:num>
  <w:num w:numId="13">
    <w:abstractNumId w:val="14"/>
  </w:num>
  <w:num w:numId="14">
    <w:abstractNumId w:val="12"/>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013ED"/>
    <w:rsid w:val="00001FC6"/>
    <w:rsid w:val="00001FE3"/>
    <w:rsid w:val="00002341"/>
    <w:rsid w:val="0001004A"/>
    <w:rsid w:val="00011CBD"/>
    <w:rsid w:val="00021AE1"/>
    <w:rsid w:val="00031E09"/>
    <w:rsid w:val="00040359"/>
    <w:rsid w:val="00043A32"/>
    <w:rsid w:val="00044B34"/>
    <w:rsid w:val="00046285"/>
    <w:rsid w:val="0004792B"/>
    <w:rsid w:val="00047DA5"/>
    <w:rsid w:val="00053AB2"/>
    <w:rsid w:val="000669BC"/>
    <w:rsid w:val="000801F6"/>
    <w:rsid w:val="00080E3F"/>
    <w:rsid w:val="00083B44"/>
    <w:rsid w:val="00084A67"/>
    <w:rsid w:val="000A1D8D"/>
    <w:rsid w:val="000A438B"/>
    <w:rsid w:val="000B1C8A"/>
    <w:rsid w:val="000C74FF"/>
    <w:rsid w:val="000D32DC"/>
    <w:rsid w:val="000D5064"/>
    <w:rsid w:val="000E1AA8"/>
    <w:rsid w:val="000E78B2"/>
    <w:rsid w:val="000F06C7"/>
    <w:rsid w:val="000F1C8C"/>
    <w:rsid w:val="000F1ED6"/>
    <w:rsid w:val="000F30E0"/>
    <w:rsid w:val="000F7724"/>
    <w:rsid w:val="00100055"/>
    <w:rsid w:val="0010780E"/>
    <w:rsid w:val="001078EF"/>
    <w:rsid w:val="0010795F"/>
    <w:rsid w:val="00107FAA"/>
    <w:rsid w:val="00113440"/>
    <w:rsid w:val="0011601E"/>
    <w:rsid w:val="00122AE3"/>
    <w:rsid w:val="00122D64"/>
    <w:rsid w:val="00123CBC"/>
    <w:rsid w:val="00123E6E"/>
    <w:rsid w:val="001254B0"/>
    <w:rsid w:val="0014759B"/>
    <w:rsid w:val="00152FB4"/>
    <w:rsid w:val="00164DCB"/>
    <w:rsid w:val="00175F9F"/>
    <w:rsid w:val="0017733E"/>
    <w:rsid w:val="00177C8E"/>
    <w:rsid w:val="00177EFD"/>
    <w:rsid w:val="0019248C"/>
    <w:rsid w:val="00194B11"/>
    <w:rsid w:val="00194D5B"/>
    <w:rsid w:val="001A1105"/>
    <w:rsid w:val="001A5FEB"/>
    <w:rsid w:val="001A61FC"/>
    <w:rsid w:val="001B48BE"/>
    <w:rsid w:val="001B53C9"/>
    <w:rsid w:val="001B5D91"/>
    <w:rsid w:val="001C388B"/>
    <w:rsid w:val="001C7B2A"/>
    <w:rsid w:val="001D032B"/>
    <w:rsid w:val="001D204F"/>
    <w:rsid w:val="001D3E39"/>
    <w:rsid w:val="001D4AE7"/>
    <w:rsid w:val="001D7BEE"/>
    <w:rsid w:val="001E11B6"/>
    <w:rsid w:val="001E6804"/>
    <w:rsid w:val="001F1B01"/>
    <w:rsid w:val="001F41E4"/>
    <w:rsid w:val="001F63C2"/>
    <w:rsid w:val="00201320"/>
    <w:rsid w:val="002166BB"/>
    <w:rsid w:val="00216712"/>
    <w:rsid w:val="0022371E"/>
    <w:rsid w:val="00227284"/>
    <w:rsid w:val="00227705"/>
    <w:rsid w:val="00232142"/>
    <w:rsid w:val="002324C9"/>
    <w:rsid w:val="002476FC"/>
    <w:rsid w:val="0024788E"/>
    <w:rsid w:val="00254278"/>
    <w:rsid w:val="002578EB"/>
    <w:rsid w:val="00261A01"/>
    <w:rsid w:val="00264825"/>
    <w:rsid w:val="002653DA"/>
    <w:rsid w:val="002666AB"/>
    <w:rsid w:val="002669F8"/>
    <w:rsid w:val="00275B96"/>
    <w:rsid w:val="00276270"/>
    <w:rsid w:val="0028144F"/>
    <w:rsid w:val="00281E95"/>
    <w:rsid w:val="00285189"/>
    <w:rsid w:val="00285354"/>
    <w:rsid w:val="002876F6"/>
    <w:rsid w:val="00290942"/>
    <w:rsid w:val="00295358"/>
    <w:rsid w:val="002955BE"/>
    <w:rsid w:val="00297A53"/>
    <w:rsid w:val="002A04DA"/>
    <w:rsid w:val="002A1D34"/>
    <w:rsid w:val="002A24C6"/>
    <w:rsid w:val="002B6A45"/>
    <w:rsid w:val="002C2B68"/>
    <w:rsid w:val="002E45BE"/>
    <w:rsid w:val="002F4679"/>
    <w:rsid w:val="002F7EDA"/>
    <w:rsid w:val="00301466"/>
    <w:rsid w:val="00310AAF"/>
    <w:rsid w:val="003168A8"/>
    <w:rsid w:val="00320A4B"/>
    <w:rsid w:val="003315D8"/>
    <w:rsid w:val="003315E2"/>
    <w:rsid w:val="003408B6"/>
    <w:rsid w:val="00341DCB"/>
    <w:rsid w:val="00343290"/>
    <w:rsid w:val="00345808"/>
    <w:rsid w:val="00345B43"/>
    <w:rsid w:val="0035752A"/>
    <w:rsid w:val="003608D7"/>
    <w:rsid w:val="00362E46"/>
    <w:rsid w:val="003701AD"/>
    <w:rsid w:val="00371C4C"/>
    <w:rsid w:val="003908CD"/>
    <w:rsid w:val="00391334"/>
    <w:rsid w:val="00392DDC"/>
    <w:rsid w:val="003A1E17"/>
    <w:rsid w:val="003A292A"/>
    <w:rsid w:val="003A693D"/>
    <w:rsid w:val="003B36A5"/>
    <w:rsid w:val="003B40D1"/>
    <w:rsid w:val="003D0CEE"/>
    <w:rsid w:val="003D0E5D"/>
    <w:rsid w:val="003D166B"/>
    <w:rsid w:val="003D68FA"/>
    <w:rsid w:val="003D7138"/>
    <w:rsid w:val="003E2310"/>
    <w:rsid w:val="003E279A"/>
    <w:rsid w:val="003F7A50"/>
    <w:rsid w:val="00400151"/>
    <w:rsid w:val="00400B72"/>
    <w:rsid w:val="00402BC7"/>
    <w:rsid w:val="00406027"/>
    <w:rsid w:val="00411E23"/>
    <w:rsid w:val="00415766"/>
    <w:rsid w:val="00416F01"/>
    <w:rsid w:val="004220B2"/>
    <w:rsid w:val="00424E22"/>
    <w:rsid w:val="00425029"/>
    <w:rsid w:val="00440359"/>
    <w:rsid w:val="0044390F"/>
    <w:rsid w:val="00452DE9"/>
    <w:rsid w:val="004640B1"/>
    <w:rsid w:val="00466EF6"/>
    <w:rsid w:val="00467FBE"/>
    <w:rsid w:val="0047344A"/>
    <w:rsid w:val="00473A0C"/>
    <w:rsid w:val="00475384"/>
    <w:rsid w:val="004819E2"/>
    <w:rsid w:val="0048416C"/>
    <w:rsid w:val="004852D5"/>
    <w:rsid w:val="0048581C"/>
    <w:rsid w:val="00495698"/>
    <w:rsid w:val="00496501"/>
    <w:rsid w:val="004977EE"/>
    <w:rsid w:val="004A10DF"/>
    <w:rsid w:val="004B204E"/>
    <w:rsid w:val="004B47EA"/>
    <w:rsid w:val="004D1D45"/>
    <w:rsid w:val="004D7CB2"/>
    <w:rsid w:val="004E007C"/>
    <w:rsid w:val="004E0B79"/>
    <w:rsid w:val="004E0D17"/>
    <w:rsid w:val="004E6CD8"/>
    <w:rsid w:val="004F1899"/>
    <w:rsid w:val="004F1B2B"/>
    <w:rsid w:val="004F58C7"/>
    <w:rsid w:val="005009B0"/>
    <w:rsid w:val="00503676"/>
    <w:rsid w:val="00516832"/>
    <w:rsid w:val="005226E9"/>
    <w:rsid w:val="00523F00"/>
    <w:rsid w:val="0054772B"/>
    <w:rsid w:val="005500FF"/>
    <w:rsid w:val="005539FD"/>
    <w:rsid w:val="00563704"/>
    <w:rsid w:val="00566572"/>
    <w:rsid w:val="00566873"/>
    <w:rsid w:val="00576F0F"/>
    <w:rsid w:val="00582270"/>
    <w:rsid w:val="005843EA"/>
    <w:rsid w:val="00584456"/>
    <w:rsid w:val="00591525"/>
    <w:rsid w:val="00591EA2"/>
    <w:rsid w:val="005966A5"/>
    <w:rsid w:val="005A00AD"/>
    <w:rsid w:val="005A399D"/>
    <w:rsid w:val="005A532B"/>
    <w:rsid w:val="005A6F6A"/>
    <w:rsid w:val="005B7D7C"/>
    <w:rsid w:val="005C402D"/>
    <w:rsid w:val="005C54ED"/>
    <w:rsid w:val="005D0FC0"/>
    <w:rsid w:val="005D656B"/>
    <w:rsid w:val="005E20A6"/>
    <w:rsid w:val="005E2D66"/>
    <w:rsid w:val="005F14EE"/>
    <w:rsid w:val="005F2FBF"/>
    <w:rsid w:val="005F636F"/>
    <w:rsid w:val="005F6FFC"/>
    <w:rsid w:val="005F744A"/>
    <w:rsid w:val="005F7B58"/>
    <w:rsid w:val="0060075E"/>
    <w:rsid w:val="006055AD"/>
    <w:rsid w:val="00605D8A"/>
    <w:rsid w:val="006076E5"/>
    <w:rsid w:val="00607C52"/>
    <w:rsid w:val="0061658E"/>
    <w:rsid w:val="00616ABC"/>
    <w:rsid w:val="006208F5"/>
    <w:rsid w:val="00631B9B"/>
    <w:rsid w:val="0064708D"/>
    <w:rsid w:val="006614B5"/>
    <w:rsid w:val="00663095"/>
    <w:rsid w:val="00663272"/>
    <w:rsid w:val="00665508"/>
    <w:rsid w:val="006748FA"/>
    <w:rsid w:val="0068445A"/>
    <w:rsid w:val="0069270A"/>
    <w:rsid w:val="006934B6"/>
    <w:rsid w:val="006A0984"/>
    <w:rsid w:val="006A7483"/>
    <w:rsid w:val="006B1528"/>
    <w:rsid w:val="006B1C29"/>
    <w:rsid w:val="006B32AC"/>
    <w:rsid w:val="006B59DC"/>
    <w:rsid w:val="006B7BE8"/>
    <w:rsid w:val="006C0AB7"/>
    <w:rsid w:val="006C3047"/>
    <w:rsid w:val="006C6DD0"/>
    <w:rsid w:val="006D21FC"/>
    <w:rsid w:val="006E1123"/>
    <w:rsid w:val="006E73B4"/>
    <w:rsid w:val="006F580F"/>
    <w:rsid w:val="006F67CC"/>
    <w:rsid w:val="007050C1"/>
    <w:rsid w:val="00705710"/>
    <w:rsid w:val="00705F5C"/>
    <w:rsid w:val="00711328"/>
    <w:rsid w:val="007158DA"/>
    <w:rsid w:val="0071592E"/>
    <w:rsid w:val="00722582"/>
    <w:rsid w:val="007267B0"/>
    <w:rsid w:val="007267B6"/>
    <w:rsid w:val="0072768F"/>
    <w:rsid w:val="00727B53"/>
    <w:rsid w:val="007317D4"/>
    <w:rsid w:val="007336C2"/>
    <w:rsid w:val="0073520F"/>
    <w:rsid w:val="00735B41"/>
    <w:rsid w:val="0073701C"/>
    <w:rsid w:val="0074474A"/>
    <w:rsid w:val="00747380"/>
    <w:rsid w:val="0075013A"/>
    <w:rsid w:val="00751B36"/>
    <w:rsid w:val="00755663"/>
    <w:rsid w:val="0075702E"/>
    <w:rsid w:val="00763679"/>
    <w:rsid w:val="00765C57"/>
    <w:rsid w:val="007677C0"/>
    <w:rsid w:val="00770AFF"/>
    <w:rsid w:val="007728AE"/>
    <w:rsid w:val="00792748"/>
    <w:rsid w:val="00793C4C"/>
    <w:rsid w:val="00793D77"/>
    <w:rsid w:val="007947BF"/>
    <w:rsid w:val="007961AA"/>
    <w:rsid w:val="007A0FDB"/>
    <w:rsid w:val="007A5121"/>
    <w:rsid w:val="007B7730"/>
    <w:rsid w:val="007C00DA"/>
    <w:rsid w:val="007C123A"/>
    <w:rsid w:val="007C684A"/>
    <w:rsid w:val="007D72BB"/>
    <w:rsid w:val="007D741F"/>
    <w:rsid w:val="007F4E56"/>
    <w:rsid w:val="007F4ECF"/>
    <w:rsid w:val="008045AE"/>
    <w:rsid w:val="00804AFA"/>
    <w:rsid w:val="0080651C"/>
    <w:rsid w:val="008110FE"/>
    <w:rsid w:val="008166E8"/>
    <w:rsid w:val="008166FE"/>
    <w:rsid w:val="008300CD"/>
    <w:rsid w:val="008418D1"/>
    <w:rsid w:val="0084398B"/>
    <w:rsid w:val="00846FD3"/>
    <w:rsid w:val="00847EDC"/>
    <w:rsid w:val="00850CEB"/>
    <w:rsid w:val="00860EA0"/>
    <w:rsid w:val="008637EF"/>
    <w:rsid w:val="00865672"/>
    <w:rsid w:val="0087106D"/>
    <w:rsid w:val="00876724"/>
    <w:rsid w:val="00877867"/>
    <w:rsid w:val="00885418"/>
    <w:rsid w:val="0089032F"/>
    <w:rsid w:val="00893BEF"/>
    <w:rsid w:val="00896E9D"/>
    <w:rsid w:val="008976B0"/>
    <w:rsid w:val="008A2EE9"/>
    <w:rsid w:val="008A5EA9"/>
    <w:rsid w:val="008A6065"/>
    <w:rsid w:val="008B0456"/>
    <w:rsid w:val="008C070B"/>
    <w:rsid w:val="008C54B7"/>
    <w:rsid w:val="008D0407"/>
    <w:rsid w:val="008D0E25"/>
    <w:rsid w:val="008D225C"/>
    <w:rsid w:val="008D78CD"/>
    <w:rsid w:val="008E268C"/>
    <w:rsid w:val="008E4C20"/>
    <w:rsid w:val="008E55D4"/>
    <w:rsid w:val="008F70B9"/>
    <w:rsid w:val="008F7B23"/>
    <w:rsid w:val="0090212B"/>
    <w:rsid w:val="00902929"/>
    <w:rsid w:val="00903253"/>
    <w:rsid w:val="00906496"/>
    <w:rsid w:val="00913206"/>
    <w:rsid w:val="009132B4"/>
    <w:rsid w:val="00924A2C"/>
    <w:rsid w:val="009349F9"/>
    <w:rsid w:val="00936E2B"/>
    <w:rsid w:val="0094400D"/>
    <w:rsid w:val="00946E6C"/>
    <w:rsid w:val="00950F58"/>
    <w:rsid w:val="00977AAD"/>
    <w:rsid w:val="00977C50"/>
    <w:rsid w:val="009841EE"/>
    <w:rsid w:val="00986712"/>
    <w:rsid w:val="00992C99"/>
    <w:rsid w:val="009A3AD6"/>
    <w:rsid w:val="009B2F6A"/>
    <w:rsid w:val="009B3921"/>
    <w:rsid w:val="009B3DE7"/>
    <w:rsid w:val="009B58A5"/>
    <w:rsid w:val="009C6284"/>
    <w:rsid w:val="009C6E2D"/>
    <w:rsid w:val="009D3CB7"/>
    <w:rsid w:val="009D5E4D"/>
    <w:rsid w:val="009E58B4"/>
    <w:rsid w:val="009E6246"/>
    <w:rsid w:val="009F0D05"/>
    <w:rsid w:val="00A00E15"/>
    <w:rsid w:val="00A1165D"/>
    <w:rsid w:val="00A2269D"/>
    <w:rsid w:val="00A23BC7"/>
    <w:rsid w:val="00A32667"/>
    <w:rsid w:val="00A44AF9"/>
    <w:rsid w:val="00A471FE"/>
    <w:rsid w:val="00A52FDC"/>
    <w:rsid w:val="00A54B18"/>
    <w:rsid w:val="00A565ED"/>
    <w:rsid w:val="00A56ED6"/>
    <w:rsid w:val="00A635EB"/>
    <w:rsid w:val="00A6569E"/>
    <w:rsid w:val="00A67483"/>
    <w:rsid w:val="00A67A57"/>
    <w:rsid w:val="00A77DBA"/>
    <w:rsid w:val="00A845BB"/>
    <w:rsid w:val="00A87459"/>
    <w:rsid w:val="00A9051F"/>
    <w:rsid w:val="00AB1065"/>
    <w:rsid w:val="00AB10B1"/>
    <w:rsid w:val="00AB75A4"/>
    <w:rsid w:val="00AC0B57"/>
    <w:rsid w:val="00AC57A3"/>
    <w:rsid w:val="00AD1C80"/>
    <w:rsid w:val="00AE3245"/>
    <w:rsid w:val="00AF09D7"/>
    <w:rsid w:val="00AF2A34"/>
    <w:rsid w:val="00B01E58"/>
    <w:rsid w:val="00B12C1E"/>
    <w:rsid w:val="00B15ED9"/>
    <w:rsid w:val="00B2039E"/>
    <w:rsid w:val="00B229AE"/>
    <w:rsid w:val="00B23DDA"/>
    <w:rsid w:val="00B279C0"/>
    <w:rsid w:val="00B3137B"/>
    <w:rsid w:val="00B32F9D"/>
    <w:rsid w:val="00B375BE"/>
    <w:rsid w:val="00B40382"/>
    <w:rsid w:val="00B4060F"/>
    <w:rsid w:val="00B40955"/>
    <w:rsid w:val="00B42455"/>
    <w:rsid w:val="00B4478E"/>
    <w:rsid w:val="00B44971"/>
    <w:rsid w:val="00B47D46"/>
    <w:rsid w:val="00B54643"/>
    <w:rsid w:val="00B555FC"/>
    <w:rsid w:val="00B60D30"/>
    <w:rsid w:val="00B642C4"/>
    <w:rsid w:val="00B64926"/>
    <w:rsid w:val="00B700DE"/>
    <w:rsid w:val="00B7696D"/>
    <w:rsid w:val="00B77A5F"/>
    <w:rsid w:val="00B87E77"/>
    <w:rsid w:val="00B90DB2"/>
    <w:rsid w:val="00B91F2D"/>
    <w:rsid w:val="00B935F9"/>
    <w:rsid w:val="00B95F95"/>
    <w:rsid w:val="00BA136C"/>
    <w:rsid w:val="00BA17B7"/>
    <w:rsid w:val="00BA2DD0"/>
    <w:rsid w:val="00BA7562"/>
    <w:rsid w:val="00BB0387"/>
    <w:rsid w:val="00BC1E19"/>
    <w:rsid w:val="00BC77CB"/>
    <w:rsid w:val="00BD28F5"/>
    <w:rsid w:val="00BE1DF3"/>
    <w:rsid w:val="00BE7D5C"/>
    <w:rsid w:val="00BF58E2"/>
    <w:rsid w:val="00BF5E50"/>
    <w:rsid w:val="00C12BA0"/>
    <w:rsid w:val="00C23C50"/>
    <w:rsid w:val="00C26658"/>
    <w:rsid w:val="00C378F8"/>
    <w:rsid w:val="00C43CBE"/>
    <w:rsid w:val="00C51039"/>
    <w:rsid w:val="00C56D65"/>
    <w:rsid w:val="00C57586"/>
    <w:rsid w:val="00C7070B"/>
    <w:rsid w:val="00C738C8"/>
    <w:rsid w:val="00C73BB0"/>
    <w:rsid w:val="00C81726"/>
    <w:rsid w:val="00C83051"/>
    <w:rsid w:val="00C84CDF"/>
    <w:rsid w:val="00C84F61"/>
    <w:rsid w:val="00C86A74"/>
    <w:rsid w:val="00CA244B"/>
    <w:rsid w:val="00CA79CC"/>
    <w:rsid w:val="00CB1037"/>
    <w:rsid w:val="00CC146B"/>
    <w:rsid w:val="00CC1CF7"/>
    <w:rsid w:val="00CD3B71"/>
    <w:rsid w:val="00CE074E"/>
    <w:rsid w:val="00CE1A13"/>
    <w:rsid w:val="00CE61C8"/>
    <w:rsid w:val="00CF69A7"/>
    <w:rsid w:val="00D013ED"/>
    <w:rsid w:val="00D128C6"/>
    <w:rsid w:val="00D15CF2"/>
    <w:rsid w:val="00D1700C"/>
    <w:rsid w:val="00D20B68"/>
    <w:rsid w:val="00D2716B"/>
    <w:rsid w:val="00D42724"/>
    <w:rsid w:val="00D60534"/>
    <w:rsid w:val="00D639E9"/>
    <w:rsid w:val="00D710E4"/>
    <w:rsid w:val="00D7185C"/>
    <w:rsid w:val="00D73E2A"/>
    <w:rsid w:val="00D777AD"/>
    <w:rsid w:val="00D82ABE"/>
    <w:rsid w:val="00D83470"/>
    <w:rsid w:val="00DA4D48"/>
    <w:rsid w:val="00DA5F01"/>
    <w:rsid w:val="00DA6340"/>
    <w:rsid w:val="00DA6A55"/>
    <w:rsid w:val="00DA77BF"/>
    <w:rsid w:val="00DB04EB"/>
    <w:rsid w:val="00DB6D06"/>
    <w:rsid w:val="00DC175C"/>
    <w:rsid w:val="00DC6DC3"/>
    <w:rsid w:val="00DD28A7"/>
    <w:rsid w:val="00DD5BA8"/>
    <w:rsid w:val="00DD6838"/>
    <w:rsid w:val="00DE1E2E"/>
    <w:rsid w:val="00DE4715"/>
    <w:rsid w:val="00DE756C"/>
    <w:rsid w:val="00DF156C"/>
    <w:rsid w:val="00DF1BF4"/>
    <w:rsid w:val="00DF59ED"/>
    <w:rsid w:val="00DF6045"/>
    <w:rsid w:val="00E104C2"/>
    <w:rsid w:val="00E1071F"/>
    <w:rsid w:val="00E15544"/>
    <w:rsid w:val="00E27D9C"/>
    <w:rsid w:val="00E31140"/>
    <w:rsid w:val="00E328C3"/>
    <w:rsid w:val="00E40197"/>
    <w:rsid w:val="00E46A00"/>
    <w:rsid w:val="00E54D0C"/>
    <w:rsid w:val="00E553D1"/>
    <w:rsid w:val="00E62DD3"/>
    <w:rsid w:val="00E736A3"/>
    <w:rsid w:val="00E743FA"/>
    <w:rsid w:val="00E74430"/>
    <w:rsid w:val="00E74DBC"/>
    <w:rsid w:val="00E77802"/>
    <w:rsid w:val="00E868F5"/>
    <w:rsid w:val="00E92596"/>
    <w:rsid w:val="00E942A4"/>
    <w:rsid w:val="00EA4F61"/>
    <w:rsid w:val="00EB12B6"/>
    <w:rsid w:val="00EB1311"/>
    <w:rsid w:val="00EB13C3"/>
    <w:rsid w:val="00EB4393"/>
    <w:rsid w:val="00EB5798"/>
    <w:rsid w:val="00EB5C87"/>
    <w:rsid w:val="00EC22D3"/>
    <w:rsid w:val="00EC6A50"/>
    <w:rsid w:val="00EC7208"/>
    <w:rsid w:val="00ED0F15"/>
    <w:rsid w:val="00EE2758"/>
    <w:rsid w:val="00EE4612"/>
    <w:rsid w:val="00EF07D8"/>
    <w:rsid w:val="00EF1E8C"/>
    <w:rsid w:val="00EF2551"/>
    <w:rsid w:val="00EF6A23"/>
    <w:rsid w:val="00EF7FB0"/>
    <w:rsid w:val="00F02699"/>
    <w:rsid w:val="00F02CCB"/>
    <w:rsid w:val="00F051D0"/>
    <w:rsid w:val="00F14A88"/>
    <w:rsid w:val="00F258C1"/>
    <w:rsid w:val="00F25990"/>
    <w:rsid w:val="00F27FAE"/>
    <w:rsid w:val="00F4059D"/>
    <w:rsid w:val="00F44B6C"/>
    <w:rsid w:val="00F44F8F"/>
    <w:rsid w:val="00F45F0C"/>
    <w:rsid w:val="00F5091B"/>
    <w:rsid w:val="00F5631F"/>
    <w:rsid w:val="00F56878"/>
    <w:rsid w:val="00F6299D"/>
    <w:rsid w:val="00F6321D"/>
    <w:rsid w:val="00F649BA"/>
    <w:rsid w:val="00F66D79"/>
    <w:rsid w:val="00F678C6"/>
    <w:rsid w:val="00F71D29"/>
    <w:rsid w:val="00F85AE6"/>
    <w:rsid w:val="00F87C52"/>
    <w:rsid w:val="00FB03E1"/>
    <w:rsid w:val="00FB0FCF"/>
    <w:rsid w:val="00FC1B59"/>
    <w:rsid w:val="00FD5A7F"/>
    <w:rsid w:val="00FD7C33"/>
    <w:rsid w:val="00FE5C49"/>
    <w:rsid w:val="00FF2D99"/>
    <w:rsid w:val="00FF6EB0"/>
    <w:rsid w:val="00FF6F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BEF"/>
    <w:pPr>
      <w:spacing w:after="100"/>
    </w:pPr>
    <w:rPr>
      <w:rFonts w:ascii="Arial Mäori" w:hAnsi="Arial Mäori"/>
      <w:sz w:val="21"/>
      <w:szCs w:val="22"/>
      <w:lang w:eastAsia="en-US"/>
    </w:rPr>
  </w:style>
  <w:style w:type="paragraph" w:styleId="Heading1">
    <w:name w:val="heading 1"/>
    <w:basedOn w:val="Normal"/>
    <w:next w:val="Normal"/>
    <w:link w:val="Heading1Char"/>
    <w:autoRedefine/>
    <w:qFormat/>
    <w:rsid w:val="00D013ED"/>
    <w:pPr>
      <w:keepNext/>
      <w:spacing w:before="200" w:after="400"/>
      <w:jc w:val="center"/>
      <w:outlineLvl w:val="0"/>
    </w:pPr>
    <w:rPr>
      <w:rFonts w:eastAsia="Times New Roman"/>
      <w:b/>
      <w:bCs/>
      <w:kern w:val="28"/>
      <w:sz w:val="28"/>
      <w:szCs w:val="24"/>
      <w:lang w:val="en-GB"/>
    </w:rPr>
  </w:style>
  <w:style w:type="paragraph" w:styleId="Heading2">
    <w:name w:val="heading 2"/>
    <w:basedOn w:val="Normal"/>
    <w:next w:val="Normal"/>
    <w:link w:val="Heading2Char"/>
    <w:autoRedefine/>
    <w:qFormat/>
    <w:rsid w:val="00AB1065"/>
    <w:pPr>
      <w:keepNext/>
      <w:tabs>
        <w:tab w:val="left" w:pos="284"/>
      </w:tabs>
      <w:spacing w:before="360" w:after="120"/>
      <w:ind w:right="680"/>
      <w:outlineLvl w:val="1"/>
    </w:pPr>
    <w:rPr>
      <w:rFonts w:eastAsia="Times New Roman"/>
      <w:bCs/>
      <w:sz w:val="34"/>
      <w:szCs w:val="24"/>
      <w:lang w:val="en-GB"/>
    </w:rPr>
  </w:style>
  <w:style w:type="paragraph" w:styleId="Heading3">
    <w:name w:val="heading 3"/>
    <w:basedOn w:val="Normal"/>
    <w:next w:val="Normal"/>
    <w:link w:val="Heading3Char"/>
    <w:uiPriority w:val="9"/>
    <w:unhideWhenUsed/>
    <w:qFormat/>
    <w:rsid w:val="00AB1065"/>
    <w:pPr>
      <w:keepNext/>
      <w:keepLines/>
      <w:spacing w:before="240" w:after="120" w:line="280" w:lineRule="exact"/>
      <w:outlineLvl w:val="2"/>
    </w:pPr>
    <w:rPr>
      <w:rFonts w:eastAsia="Times New Roman"/>
      <w:b/>
      <w:bCs/>
      <w:sz w:val="28"/>
    </w:rPr>
  </w:style>
  <w:style w:type="paragraph" w:styleId="Heading4">
    <w:name w:val="heading 4"/>
    <w:basedOn w:val="Normal"/>
    <w:next w:val="Normal"/>
    <w:link w:val="Heading4Char"/>
    <w:uiPriority w:val="9"/>
    <w:unhideWhenUsed/>
    <w:qFormat/>
    <w:rsid w:val="00AB1065"/>
    <w:pPr>
      <w:keepNext/>
      <w:keepLines/>
      <w:spacing w:before="240" w:after="60" w:line="240" w:lineRule="exact"/>
      <w:outlineLvl w:val="3"/>
    </w:pPr>
    <w:rPr>
      <w:rFonts w:eastAsia="Times New Roman"/>
      <w:b/>
      <w:bCs/>
      <w:iCs/>
      <w:sz w:val="24"/>
    </w:rPr>
  </w:style>
  <w:style w:type="paragraph" w:styleId="Heading5">
    <w:name w:val="heading 5"/>
    <w:basedOn w:val="Normal"/>
    <w:next w:val="Normal"/>
    <w:link w:val="Heading5Char"/>
    <w:uiPriority w:val="9"/>
    <w:unhideWhenUsed/>
    <w:qFormat/>
    <w:rsid w:val="00AB1065"/>
    <w:pPr>
      <w:spacing w:before="240" w:after="60"/>
      <w:outlineLvl w:val="4"/>
    </w:pPr>
    <w:rPr>
      <w:rFonts w:eastAsia="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Zreporttitlesubhead">
    <w:name w:val="SNZ report title  subhead"/>
    <w:basedOn w:val="Normal"/>
    <w:autoRedefine/>
    <w:rsid w:val="00B64926"/>
    <w:pPr>
      <w:spacing w:before="240" w:after="0"/>
      <w:ind w:right="-1284"/>
      <w:jc w:val="right"/>
      <w:outlineLvl w:val="0"/>
    </w:pPr>
    <w:rPr>
      <w:rFonts w:ascii="STATSsans Regular" w:eastAsia="Times" w:hAnsi="STATSsans Regular"/>
      <w:sz w:val="32"/>
      <w:szCs w:val="20"/>
      <w:lang w:val="en-US" w:eastAsia="en-NZ"/>
    </w:rPr>
  </w:style>
  <w:style w:type="paragraph" w:customStyle="1" w:styleId="SNZreporttitleheader">
    <w:name w:val="SNZ report title header"/>
    <w:basedOn w:val="Normal"/>
    <w:autoRedefine/>
    <w:rsid w:val="00B64926"/>
    <w:pPr>
      <w:widowControl w:val="0"/>
      <w:suppressAutoHyphens/>
      <w:autoSpaceDE w:val="0"/>
      <w:autoSpaceDN w:val="0"/>
      <w:adjustRightInd w:val="0"/>
      <w:spacing w:before="40" w:after="0" w:line="200" w:lineRule="atLeast"/>
      <w:ind w:right="-1134"/>
      <w:jc w:val="right"/>
      <w:textAlignment w:val="center"/>
    </w:pPr>
    <w:rPr>
      <w:rFonts w:ascii="STATSsans Light" w:eastAsia="Times New Roman" w:hAnsi="STATSsans Light"/>
      <w:color w:val="000000"/>
      <w:sz w:val="16"/>
      <w:szCs w:val="20"/>
      <w:lang w:val="en-GB" w:eastAsia="en-NZ"/>
    </w:rPr>
  </w:style>
  <w:style w:type="paragraph" w:customStyle="1" w:styleId="SNZreportbullet1">
    <w:name w:val="SNZ report bullet 1"/>
    <w:basedOn w:val="Normal"/>
    <w:autoRedefine/>
    <w:rsid w:val="001A1105"/>
    <w:pPr>
      <w:numPr>
        <w:numId w:val="1"/>
      </w:numPr>
    </w:pPr>
    <w:rPr>
      <w:rFonts w:ascii="STATSsans Light" w:eastAsia="Times" w:hAnsi="STATSsans Light"/>
      <w:sz w:val="20"/>
      <w:szCs w:val="20"/>
      <w:lang w:val="en-US" w:eastAsia="en-NZ"/>
    </w:rPr>
  </w:style>
  <w:style w:type="paragraph" w:customStyle="1" w:styleId="SNZreportbullet2">
    <w:name w:val="SNZ report bullet 2"/>
    <w:basedOn w:val="SNZreportbullet1"/>
    <w:autoRedefine/>
    <w:rsid w:val="001A1105"/>
    <w:pPr>
      <w:numPr>
        <w:numId w:val="2"/>
      </w:numPr>
    </w:pPr>
  </w:style>
  <w:style w:type="paragraph" w:customStyle="1" w:styleId="SNZreportheading3">
    <w:name w:val="SNZ report heading 3"/>
    <w:basedOn w:val="Normal"/>
    <w:autoRedefine/>
    <w:rsid w:val="001A1105"/>
    <w:pPr>
      <w:outlineLvl w:val="0"/>
    </w:pPr>
    <w:rPr>
      <w:rFonts w:ascii="STATSsans Regular" w:eastAsia="Times" w:hAnsi="STATSsans Regular"/>
      <w:sz w:val="24"/>
      <w:szCs w:val="20"/>
      <w:shd w:val="pct10" w:color="auto" w:fill="auto"/>
      <w:lang w:val="en-US" w:eastAsia="en-NZ"/>
    </w:rPr>
  </w:style>
  <w:style w:type="paragraph" w:customStyle="1" w:styleId="SNZreportheading4">
    <w:name w:val="SNZ report heading 4"/>
    <w:basedOn w:val="SNZreportheading3"/>
    <w:autoRedefine/>
    <w:rsid w:val="001A1105"/>
    <w:pPr>
      <w:spacing w:after="0"/>
    </w:pPr>
    <w:rPr>
      <w:sz w:val="20"/>
    </w:rPr>
  </w:style>
  <w:style w:type="paragraph" w:customStyle="1" w:styleId="SNZreportheading5">
    <w:name w:val="SNZ report heading 5"/>
    <w:basedOn w:val="SNZreportheading4"/>
    <w:autoRedefine/>
    <w:rsid w:val="001A1105"/>
    <w:rPr>
      <w:sz w:val="18"/>
    </w:rPr>
  </w:style>
  <w:style w:type="paragraph" w:customStyle="1" w:styleId="SNZreportheading6">
    <w:name w:val="SNZ report heading 6"/>
    <w:basedOn w:val="SNZreportheading5"/>
    <w:autoRedefine/>
    <w:rsid w:val="001A1105"/>
    <w:rPr>
      <w:rFonts w:ascii="StatsSans LightItalic" w:hAnsi="StatsSans LightItalic"/>
    </w:rPr>
  </w:style>
  <w:style w:type="paragraph" w:customStyle="1" w:styleId="SNZreportfigurenumber">
    <w:name w:val="SNZ report figure number"/>
    <w:basedOn w:val="Normal"/>
    <w:link w:val="SNZreportfigurenumberChar"/>
    <w:autoRedefine/>
    <w:qFormat/>
    <w:rsid w:val="001A1105"/>
    <w:rPr>
      <w:rFonts w:ascii="STATSsans Light" w:eastAsia="Times" w:hAnsi="STATSsans Light"/>
      <w:bCs/>
      <w:sz w:val="20"/>
      <w:szCs w:val="20"/>
      <w:lang w:val="en-US" w:eastAsia="en-NZ"/>
    </w:rPr>
  </w:style>
  <w:style w:type="character" w:customStyle="1" w:styleId="SNZreportfigurenumberChar">
    <w:name w:val="SNZ report figure number Char"/>
    <w:basedOn w:val="DefaultParagraphFont"/>
    <w:link w:val="SNZreportfigurenumber"/>
    <w:rsid w:val="001A1105"/>
    <w:rPr>
      <w:rFonts w:ascii="STATSsans Light" w:eastAsia="Times" w:hAnsi="STATSsans Light" w:cs="Times New Roman"/>
      <w:bCs/>
      <w:sz w:val="20"/>
      <w:szCs w:val="20"/>
      <w:lang w:val="en-US" w:eastAsia="en-NZ"/>
    </w:rPr>
  </w:style>
  <w:style w:type="paragraph" w:styleId="FootnoteText">
    <w:name w:val="footnote text"/>
    <w:basedOn w:val="Normal"/>
    <w:link w:val="FootnoteTextChar"/>
    <w:uiPriority w:val="99"/>
    <w:semiHidden/>
    <w:unhideWhenUsed/>
    <w:rsid w:val="00D013ED"/>
    <w:pPr>
      <w:spacing w:after="0"/>
    </w:pPr>
    <w:rPr>
      <w:sz w:val="20"/>
      <w:szCs w:val="20"/>
    </w:rPr>
  </w:style>
  <w:style w:type="character" w:customStyle="1" w:styleId="FootnoteTextChar">
    <w:name w:val="Footnote Text Char"/>
    <w:basedOn w:val="DefaultParagraphFont"/>
    <w:link w:val="FootnoteText"/>
    <w:uiPriority w:val="99"/>
    <w:semiHidden/>
    <w:rsid w:val="00D013ED"/>
    <w:rPr>
      <w:sz w:val="20"/>
      <w:szCs w:val="20"/>
    </w:rPr>
  </w:style>
  <w:style w:type="character" w:styleId="FootnoteReference">
    <w:name w:val="footnote reference"/>
    <w:basedOn w:val="DefaultParagraphFont"/>
    <w:uiPriority w:val="99"/>
    <w:semiHidden/>
    <w:unhideWhenUsed/>
    <w:rsid w:val="00D013ED"/>
    <w:rPr>
      <w:vertAlign w:val="superscript"/>
    </w:rPr>
  </w:style>
  <w:style w:type="character" w:customStyle="1" w:styleId="Heading1Char">
    <w:name w:val="Heading 1 Char"/>
    <w:basedOn w:val="DefaultParagraphFont"/>
    <w:link w:val="Heading1"/>
    <w:rsid w:val="00D013ED"/>
    <w:rPr>
      <w:rFonts w:ascii="Arial Mäori" w:eastAsia="Times New Roman" w:hAnsi="Arial Mäori" w:cs="Times New Roman"/>
      <w:b/>
      <w:bCs/>
      <w:kern w:val="28"/>
      <w:sz w:val="28"/>
      <w:szCs w:val="24"/>
      <w:lang w:val="en-GB"/>
    </w:rPr>
  </w:style>
  <w:style w:type="character" w:customStyle="1" w:styleId="Heading2Char">
    <w:name w:val="Heading 2 Char"/>
    <w:basedOn w:val="DefaultParagraphFont"/>
    <w:link w:val="Heading2"/>
    <w:rsid w:val="00AB1065"/>
    <w:rPr>
      <w:rFonts w:ascii="Arial Mäori" w:eastAsia="Times New Roman" w:hAnsi="Arial Mäori"/>
      <w:bCs/>
      <w:sz w:val="34"/>
      <w:szCs w:val="24"/>
      <w:lang w:val="en-GB" w:eastAsia="en-US"/>
    </w:rPr>
  </w:style>
  <w:style w:type="paragraph" w:customStyle="1" w:styleId="Author">
    <w:name w:val="Author"/>
    <w:basedOn w:val="SNZreportheading4"/>
    <w:link w:val="AuthorChar"/>
    <w:autoRedefine/>
    <w:rsid w:val="00D013ED"/>
    <w:pPr>
      <w:tabs>
        <w:tab w:val="left" w:pos="1361"/>
        <w:tab w:val="left" w:pos="1701"/>
        <w:tab w:val="left" w:pos="2041"/>
      </w:tabs>
      <w:spacing w:after="120"/>
      <w:jc w:val="center"/>
      <w:outlineLvl w:val="9"/>
    </w:pPr>
    <w:rPr>
      <w:rFonts w:ascii="Arial Mäori" w:eastAsia="Times New Roman" w:hAnsi="Arial Mäori"/>
      <w:sz w:val="22"/>
      <w:szCs w:val="24"/>
      <w:shd w:val="clear" w:color="auto" w:fill="auto"/>
      <w:lang w:eastAsia="en-US"/>
    </w:rPr>
  </w:style>
  <w:style w:type="character" w:customStyle="1" w:styleId="AuthorChar">
    <w:name w:val="Author Char"/>
    <w:basedOn w:val="BodyTextChar"/>
    <w:link w:val="Author"/>
    <w:rsid w:val="00D013ED"/>
    <w:rPr>
      <w:rFonts w:ascii="Arial Mäori" w:eastAsia="Times New Roman" w:hAnsi="Arial Mäori" w:cs="Times New Roman"/>
      <w:szCs w:val="24"/>
      <w:lang w:val="en-US"/>
    </w:rPr>
  </w:style>
  <w:style w:type="paragraph" w:styleId="BodyText">
    <w:name w:val="Body Text"/>
    <w:basedOn w:val="Normal"/>
    <w:link w:val="BodyTextChar"/>
    <w:uiPriority w:val="99"/>
    <w:unhideWhenUsed/>
    <w:rsid w:val="00D013ED"/>
    <w:pPr>
      <w:spacing w:after="120"/>
    </w:pPr>
  </w:style>
  <w:style w:type="character" w:customStyle="1" w:styleId="BodyTextChar">
    <w:name w:val="Body Text Char"/>
    <w:basedOn w:val="DefaultParagraphFont"/>
    <w:link w:val="BodyText"/>
    <w:uiPriority w:val="99"/>
    <w:rsid w:val="00D013ED"/>
    <w:rPr>
      <w:rFonts w:ascii="Arial Mäori" w:hAnsi="Arial Mäori"/>
    </w:rPr>
  </w:style>
  <w:style w:type="character" w:styleId="Hyperlink">
    <w:name w:val="Hyperlink"/>
    <w:basedOn w:val="DefaultParagraphFont"/>
    <w:uiPriority w:val="99"/>
    <w:unhideWhenUsed/>
    <w:rsid w:val="00D013ED"/>
    <w:rPr>
      <w:color w:val="0000FF"/>
      <w:u w:val="single"/>
    </w:rPr>
  </w:style>
  <w:style w:type="paragraph" w:styleId="Footer">
    <w:name w:val="footer"/>
    <w:basedOn w:val="Normal"/>
    <w:link w:val="FooterChar"/>
    <w:autoRedefine/>
    <w:uiPriority w:val="99"/>
    <w:rsid w:val="007267B6"/>
    <w:pPr>
      <w:tabs>
        <w:tab w:val="center" w:pos="4320"/>
        <w:tab w:val="right" w:pos="8640"/>
      </w:tabs>
      <w:spacing w:after="0"/>
      <w:jc w:val="center"/>
    </w:pPr>
    <w:rPr>
      <w:rFonts w:eastAsia="Times New Roman"/>
      <w:noProof/>
      <w:sz w:val="18"/>
      <w:szCs w:val="18"/>
      <w:lang w:val="en-GB"/>
    </w:rPr>
  </w:style>
  <w:style w:type="character" w:customStyle="1" w:styleId="FooterChar">
    <w:name w:val="Footer Char"/>
    <w:basedOn w:val="DefaultParagraphFont"/>
    <w:link w:val="Footer"/>
    <w:uiPriority w:val="99"/>
    <w:rsid w:val="007267B6"/>
    <w:rPr>
      <w:rFonts w:ascii="Arial Mäori" w:eastAsia="Times New Roman" w:hAnsi="Arial Mäori"/>
      <w:noProof/>
      <w:sz w:val="18"/>
      <w:szCs w:val="18"/>
      <w:lang w:val="en-GB" w:eastAsia="en-US"/>
    </w:rPr>
  </w:style>
  <w:style w:type="paragraph" w:customStyle="1" w:styleId="Num-DocParagraph">
    <w:name w:val="Num-Doc Paragraph"/>
    <w:basedOn w:val="BodyText"/>
    <w:rsid w:val="00876724"/>
    <w:pPr>
      <w:tabs>
        <w:tab w:val="left" w:pos="1361"/>
        <w:tab w:val="left" w:pos="1701"/>
        <w:tab w:val="left" w:pos="2041"/>
      </w:tabs>
    </w:pPr>
    <w:rPr>
      <w:rFonts w:eastAsia="Times New Roman"/>
      <w:lang w:val="en-US"/>
    </w:rPr>
  </w:style>
  <w:style w:type="character" w:customStyle="1" w:styleId="Heading3Char">
    <w:name w:val="Heading 3 Char"/>
    <w:basedOn w:val="DefaultParagraphFont"/>
    <w:link w:val="Heading3"/>
    <w:uiPriority w:val="9"/>
    <w:rsid w:val="00AB1065"/>
    <w:rPr>
      <w:rFonts w:ascii="Arial Mäori" w:eastAsia="Times New Roman" w:hAnsi="Arial Mäori"/>
      <w:b/>
      <w:bCs/>
      <w:sz w:val="28"/>
      <w:szCs w:val="22"/>
      <w:lang w:eastAsia="en-US"/>
    </w:rPr>
  </w:style>
  <w:style w:type="character" w:customStyle="1" w:styleId="Heading4Char">
    <w:name w:val="Heading 4 Char"/>
    <w:basedOn w:val="DefaultParagraphFont"/>
    <w:link w:val="Heading4"/>
    <w:uiPriority w:val="9"/>
    <w:rsid w:val="00AB1065"/>
    <w:rPr>
      <w:rFonts w:ascii="Arial Mäori" w:eastAsia="Times New Roman" w:hAnsi="Arial Mäori"/>
      <w:b/>
      <w:bCs/>
      <w:iCs/>
      <w:sz w:val="24"/>
      <w:szCs w:val="22"/>
      <w:lang w:eastAsia="en-US"/>
    </w:rPr>
  </w:style>
  <w:style w:type="paragraph" w:styleId="ListBullet">
    <w:name w:val="List Bullet"/>
    <w:basedOn w:val="Normal"/>
    <w:autoRedefine/>
    <w:rsid w:val="001D032B"/>
    <w:pPr>
      <w:spacing w:after="120"/>
      <w:ind w:right="340"/>
    </w:pPr>
    <w:rPr>
      <w:rFonts w:eastAsia="Times New Roman"/>
      <w:lang w:val="en-GB"/>
    </w:rPr>
  </w:style>
  <w:style w:type="paragraph" w:styleId="ListNumber">
    <w:name w:val="List Number"/>
    <w:basedOn w:val="Normal"/>
    <w:autoRedefine/>
    <w:rsid w:val="00402BC7"/>
    <w:pPr>
      <w:numPr>
        <w:numId w:val="4"/>
      </w:numPr>
      <w:tabs>
        <w:tab w:val="clear" w:pos="1088"/>
        <w:tab w:val="left" w:pos="0"/>
      </w:tabs>
      <w:spacing w:after="120"/>
      <w:ind w:left="0" w:right="680" w:firstLine="284"/>
      <w:jc w:val="both"/>
    </w:pPr>
    <w:rPr>
      <w:rFonts w:eastAsia="Times New Roman"/>
      <w:lang w:val="en-GB"/>
    </w:rPr>
  </w:style>
  <w:style w:type="paragraph" w:styleId="ListNumber2">
    <w:name w:val="List Number 2"/>
    <w:basedOn w:val="Normal"/>
    <w:rsid w:val="00876724"/>
    <w:pPr>
      <w:numPr>
        <w:ilvl w:val="1"/>
        <w:numId w:val="4"/>
      </w:numPr>
      <w:spacing w:after="120"/>
      <w:ind w:right="680"/>
      <w:jc w:val="both"/>
    </w:pPr>
    <w:rPr>
      <w:rFonts w:ascii="Times New Roman" w:eastAsia="Times New Roman" w:hAnsi="Times New Roman"/>
      <w:lang w:val="en-GB"/>
    </w:rPr>
  </w:style>
  <w:style w:type="paragraph" w:styleId="ListNumber3">
    <w:name w:val="List Number 3"/>
    <w:basedOn w:val="Normal"/>
    <w:rsid w:val="00876724"/>
    <w:pPr>
      <w:numPr>
        <w:ilvl w:val="2"/>
        <w:numId w:val="4"/>
      </w:numPr>
      <w:spacing w:after="120"/>
      <w:ind w:right="680"/>
      <w:jc w:val="both"/>
    </w:pPr>
    <w:rPr>
      <w:rFonts w:ascii="Times New Roman" w:eastAsia="Times New Roman" w:hAnsi="Times New Roman"/>
      <w:lang w:val="en-GB"/>
    </w:rPr>
  </w:style>
  <w:style w:type="paragraph" w:styleId="ListNumber4">
    <w:name w:val="List Number 4"/>
    <w:basedOn w:val="Normal"/>
    <w:rsid w:val="00876724"/>
    <w:pPr>
      <w:numPr>
        <w:ilvl w:val="3"/>
        <w:numId w:val="4"/>
      </w:numPr>
      <w:spacing w:after="120"/>
      <w:ind w:right="680"/>
      <w:jc w:val="both"/>
    </w:pPr>
    <w:rPr>
      <w:rFonts w:ascii="Times New Roman" w:eastAsia="Times New Roman" w:hAnsi="Times New Roman"/>
      <w:lang w:val="en-GB"/>
    </w:rPr>
  </w:style>
  <w:style w:type="paragraph" w:styleId="ListNumber5">
    <w:name w:val="List Number 5"/>
    <w:basedOn w:val="Normal"/>
    <w:rsid w:val="00876724"/>
    <w:pPr>
      <w:numPr>
        <w:ilvl w:val="4"/>
        <w:numId w:val="4"/>
      </w:numPr>
      <w:tabs>
        <w:tab w:val="left" w:pos="2722"/>
      </w:tabs>
      <w:spacing w:after="120"/>
      <w:ind w:right="680"/>
      <w:jc w:val="both"/>
    </w:pPr>
    <w:rPr>
      <w:rFonts w:ascii="Times New Roman" w:eastAsia="Times New Roman" w:hAnsi="Times New Roman"/>
      <w:lang w:val="en-GB"/>
    </w:rPr>
  </w:style>
  <w:style w:type="paragraph" w:customStyle="1" w:styleId="TableTitle11pt">
    <w:name w:val="Table Title + 11 pt"/>
    <w:basedOn w:val="Normal"/>
    <w:autoRedefine/>
    <w:rsid w:val="008976B0"/>
    <w:pPr>
      <w:keepNext/>
      <w:spacing w:before="240" w:after="240"/>
    </w:pPr>
    <w:rPr>
      <w:rFonts w:eastAsia="Times New Roman" w:cs="Arial"/>
      <w:b/>
      <w:bCs/>
      <w:szCs w:val="20"/>
      <w:lang w:val="en-GB"/>
    </w:rPr>
  </w:style>
  <w:style w:type="paragraph" w:styleId="BalloonText">
    <w:name w:val="Balloon Text"/>
    <w:basedOn w:val="Normal"/>
    <w:link w:val="BalloonTextChar"/>
    <w:uiPriority w:val="99"/>
    <w:semiHidden/>
    <w:unhideWhenUsed/>
    <w:rsid w:val="008767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724"/>
    <w:rPr>
      <w:rFonts w:ascii="Tahoma" w:hAnsi="Tahoma" w:cs="Tahoma"/>
      <w:sz w:val="16"/>
      <w:szCs w:val="16"/>
    </w:rPr>
  </w:style>
  <w:style w:type="character" w:styleId="IntenseEmphasis">
    <w:name w:val="Intense Emphasis"/>
    <w:basedOn w:val="DefaultParagraphFont"/>
    <w:uiPriority w:val="21"/>
    <w:qFormat/>
    <w:rsid w:val="00876724"/>
    <w:rPr>
      <w:b/>
      <w:bCs/>
      <w:i/>
      <w:iCs/>
      <w:color w:val="4F81BD"/>
    </w:rPr>
  </w:style>
  <w:style w:type="paragraph" w:customStyle="1" w:styleId="SourceDescription">
    <w:name w:val="Source Description"/>
    <w:basedOn w:val="Normal"/>
    <w:next w:val="BodyText"/>
    <w:link w:val="SourceDescriptionChar"/>
    <w:autoRedefine/>
    <w:rsid w:val="00876724"/>
    <w:pPr>
      <w:tabs>
        <w:tab w:val="left" w:pos="851"/>
      </w:tabs>
      <w:spacing w:before="60" w:after="360"/>
    </w:pPr>
    <w:rPr>
      <w:rFonts w:eastAsia="Times New Roman" w:cs="Arial"/>
      <w:sz w:val="18"/>
      <w:szCs w:val="16"/>
      <w:lang w:val="en-GB"/>
    </w:rPr>
  </w:style>
  <w:style w:type="paragraph" w:customStyle="1" w:styleId="Heading41">
    <w:name w:val="Heading 41"/>
    <w:basedOn w:val="Heading3"/>
    <w:link w:val="heading4Char0"/>
    <w:qFormat/>
    <w:rsid w:val="00876724"/>
    <w:rPr>
      <w:b w:val="0"/>
      <w:sz w:val="20"/>
    </w:rPr>
  </w:style>
  <w:style w:type="character" w:customStyle="1" w:styleId="heading4Char0">
    <w:name w:val="heading 4 Char"/>
    <w:basedOn w:val="Heading3Char"/>
    <w:link w:val="Heading41"/>
    <w:rsid w:val="00876724"/>
    <w:rPr>
      <w:rFonts w:ascii="Arial Mäori" w:eastAsia="Times New Roman" w:hAnsi="Arial Mäori"/>
      <w:b/>
      <w:bCs/>
      <w:sz w:val="20"/>
      <w:szCs w:val="22"/>
      <w:lang w:eastAsia="en-US"/>
    </w:rPr>
  </w:style>
  <w:style w:type="character" w:customStyle="1" w:styleId="SourceDescriptionChar">
    <w:name w:val="Source Description Char"/>
    <w:basedOn w:val="DefaultParagraphFont"/>
    <w:link w:val="SourceDescription"/>
    <w:rsid w:val="00876724"/>
    <w:rPr>
      <w:rFonts w:ascii="Arial Mäori" w:eastAsia="Times New Roman" w:hAnsi="Arial Mäori" w:cs="Arial"/>
      <w:sz w:val="18"/>
      <w:szCs w:val="16"/>
      <w:lang w:val="en-GB"/>
    </w:rPr>
  </w:style>
  <w:style w:type="paragraph" w:customStyle="1" w:styleId="TableNote">
    <w:name w:val="Table Note"/>
    <w:basedOn w:val="Normal"/>
    <w:autoRedefine/>
    <w:rsid w:val="00876724"/>
    <w:pPr>
      <w:tabs>
        <w:tab w:val="left" w:pos="1021"/>
      </w:tabs>
      <w:spacing w:after="0"/>
    </w:pPr>
    <w:rPr>
      <w:rFonts w:eastAsia="Times New Roman" w:cs="Arial"/>
      <w:sz w:val="18"/>
      <w:szCs w:val="16"/>
      <w:lang w:val="en-US"/>
    </w:rPr>
  </w:style>
  <w:style w:type="paragraph" w:customStyle="1" w:styleId="Graphic">
    <w:name w:val="Graphic"/>
    <w:basedOn w:val="Normal"/>
    <w:next w:val="BodyText"/>
    <w:rsid w:val="00876724"/>
    <w:pPr>
      <w:spacing w:after="240"/>
      <w:jc w:val="center"/>
    </w:pPr>
    <w:rPr>
      <w:rFonts w:ascii="Times New Roman" w:eastAsia="Times New Roman" w:hAnsi="Times New Roman"/>
      <w:lang w:val="en-GB"/>
    </w:rPr>
  </w:style>
  <w:style w:type="paragraph" w:customStyle="1" w:styleId="StyleFigureTitle111ptBefore0ptAfter6pt">
    <w:name w:val="Style Figure Title1 + 11 pt Before:  0 pt After:  6 pt"/>
    <w:basedOn w:val="Normal"/>
    <w:autoRedefine/>
    <w:rsid w:val="00876724"/>
    <w:pPr>
      <w:keepNext/>
      <w:spacing w:after="120"/>
    </w:pPr>
    <w:rPr>
      <w:rFonts w:eastAsia="Times New Roman"/>
      <w:b/>
      <w:bCs/>
      <w:szCs w:val="20"/>
      <w:lang w:val="en-GB"/>
    </w:rPr>
  </w:style>
  <w:style w:type="paragraph" w:customStyle="1" w:styleId="SNZbodytext">
    <w:name w:val="SNZ body text"/>
    <w:basedOn w:val="Normal"/>
    <w:link w:val="SNZbodytextChar"/>
    <w:autoRedefine/>
    <w:rsid w:val="00876724"/>
    <w:rPr>
      <w:rFonts w:ascii="STATSsans Light" w:hAnsi="STATSsans Light"/>
      <w:bCs/>
      <w:sz w:val="20"/>
    </w:rPr>
  </w:style>
  <w:style w:type="character" w:styleId="Emphasis">
    <w:name w:val="Emphasis"/>
    <w:basedOn w:val="DefaultParagraphFont"/>
    <w:uiPriority w:val="20"/>
    <w:qFormat/>
    <w:rsid w:val="00876724"/>
    <w:rPr>
      <w:i/>
      <w:iCs/>
    </w:rPr>
  </w:style>
  <w:style w:type="character" w:customStyle="1" w:styleId="SNZbodytextChar">
    <w:name w:val="SNZ body text Char"/>
    <w:basedOn w:val="DefaultParagraphFont"/>
    <w:link w:val="SNZbodytext"/>
    <w:rsid w:val="00876724"/>
    <w:rPr>
      <w:rFonts w:ascii="STATSsans Light" w:eastAsia="Calibri" w:hAnsi="STATSsans Light" w:cs="Times New Roman"/>
      <w:bCs/>
      <w:sz w:val="20"/>
    </w:rPr>
  </w:style>
  <w:style w:type="paragraph" w:styleId="Header">
    <w:name w:val="header"/>
    <w:basedOn w:val="Normal"/>
    <w:link w:val="HeaderChar"/>
    <w:unhideWhenUsed/>
    <w:rsid w:val="007267B6"/>
    <w:pPr>
      <w:tabs>
        <w:tab w:val="center" w:pos="4513"/>
        <w:tab w:val="right" w:pos="9026"/>
      </w:tabs>
    </w:pPr>
  </w:style>
  <w:style w:type="character" w:customStyle="1" w:styleId="HeaderChar">
    <w:name w:val="Header Char"/>
    <w:basedOn w:val="DefaultParagraphFont"/>
    <w:link w:val="Header"/>
    <w:uiPriority w:val="99"/>
    <w:rsid w:val="007267B6"/>
    <w:rPr>
      <w:rFonts w:ascii="Arial Mäori" w:hAnsi="Arial Mäori"/>
      <w:sz w:val="22"/>
      <w:szCs w:val="22"/>
      <w:lang w:eastAsia="en-US"/>
    </w:rPr>
  </w:style>
  <w:style w:type="paragraph" w:customStyle="1" w:styleId="Copyrightinfoheadings">
    <w:name w:val="Copyright info headings"/>
    <w:basedOn w:val="Normal"/>
    <w:qFormat/>
    <w:rsid w:val="00A00E15"/>
    <w:pPr>
      <w:spacing w:before="300" w:after="0"/>
    </w:pPr>
    <w:rPr>
      <w:b/>
      <w:sz w:val="20"/>
    </w:rPr>
  </w:style>
  <w:style w:type="paragraph" w:customStyle="1" w:styleId="Copyrightinfotext">
    <w:name w:val="Copyright info text"/>
    <w:basedOn w:val="Copyrightinfoheadings"/>
    <w:qFormat/>
    <w:rsid w:val="00A00E15"/>
    <w:pPr>
      <w:spacing w:before="0" w:line="240" w:lineRule="exact"/>
    </w:pPr>
    <w:rPr>
      <w:b w:val="0"/>
    </w:rPr>
  </w:style>
  <w:style w:type="character" w:customStyle="1" w:styleId="Heading5Char">
    <w:name w:val="Heading 5 Char"/>
    <w:basedOn w:val="DefaultParagraphFont"/>
    <w:link w:val="Heading5"/>
    <w:uiPriority w:val="9"/>
    <w:rsid w:val="00AB1065"/>
    <w:rPr>
      <w:rFonts w:ascii="Arial Mäori" w:eastAsia="Times New Roman" w:hAnsi="Arial Mäori" w:cs="Times New Roman"/>
      <w:b/>
      <w:bCs/>
      <w:i/>
      <w:iCs/>
      <w:sz w:val="21"/>
      <w:szCs w:val="26"/>
      <w:lang w:eastAsia="en-US"/>
    </w:rPr>
  </w:style>
  <w:style w:type="paragraph" w:styleId="Title">
    <w:name w:val="Title"/>
    <w:basedOn w:val="Normal"/>
    <w:next w:val="Normal"/>
    <w:link w:val="TitleChar"/>
    <w:uiPriority w:val="10"/>
    <w:qFormat/>
    <w:rsid w:val="00A77DBA"/>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A77DBA"/>
    <w:rPr>
      <w:rFonts w:ascii="Arial Mäori" w:eastAsia="Times New Roman" w:hAnsi="Arial Mäori" w:cs="Times New Roman"/>
      <w:b/>
      <w:bCs/>
      <w:kern w:val="28"/>
      <w:sz w:val="32"/>
      <w:szCs w:val="32"/>
      <w:lang w:eastAsia="en-US"/>
    </w:rPr>
  </w:style>
  <w:style w:type="paragraph" w:styleId="Subtitle">
    <w:name w:val="Subtitle"/>
    <w:basedOn w:val="Normal"/>
    <w:next w:val="Normal"/>
    <w:link w:val="SubtitleChar"/>
    <w:uiPriority w:val="11"/>
    <w:qFormat/>
    <w:rsid w:val="00AB1065"/>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AB1065"/>
    <w:rPr>
      <w:rFonts w:ascii="Cambria" w:eastAsia="Times New Roman" w:hAnsi="Cambria" w:cs="Times New Roman"/>
      <w:sz w:val="24"/>
      <w:szCs w:val="24"/>
      <w:lang w:eastAsia="en-US"/>
    </w:rPr>
  </w:style>
  <w:style w:type="character" w:styleId="CommentReference">
    <w:name w:val="annotation reference"/>
    <w:basedOn w:val="DefaultParagraphFont"/>
    <w:uiPriority w:val="99"/>
    <w:semiHidden/>
    <w:unhideWhenUsed/>
    <w:rsid w:val="002C2B68"/>
    <w:rPr>
      <w:sz w:val="16"/>
      <w:szCs w:val="16"/>
    </w:rPr>
  </w:style>
  <w:style w:type="paragraph" w:styleId="CommentText">
    <w:name w:val="annotation text"/>
    <w:basedOn w:val="Normal"/>
    <w:link w:val="CommentTextChar"/>
    <w:uiPriority w:val="99"/>
    <w:semiHidden/>
    <w:unhideWhenUsed/>
    <w:rsid w:val="002C2B68"/>
    <w:rPr>
      <w:sz w:val="20"/>
      <w:szCs w:val="20"/>
    </w:rPr>
  </w:style>
  <w:style w:type="character" w:customStyle="1" w:styleId="CommentTextChar">
    <w:name w:val="Comment Text Char"/>
    <w:basedOn w:val="DefaultParagraphFont"/>
    <w:link w:val="CommentText"/>
    <w:uiPriority w:val="99"/>
    <w:semiHidden/>
    <w:rsid w:val="002C2B68"/>
    <w:rPr>
      <w:rFonts w:ascii="Arial Mäori" w:hAnsi="Arial Mäori"/>
      <w:lang w:eastAsia="en-US"/>
    </w:rPr>
  </w:style>
  <w:style w:type="paragraph" w:styleId="CommentSubject">
    <w:name w:val="annotation subject"/>
    <w:basedOn w:val="CommentText"/>
    <w:next w:val="CommentText"/>
    <w:link w:val="CommentSubjectChar"/>
    <w:uiPriority w:val="99"/>
    <w:semiHidden/>
    <w:unhideWhenUsed/>
    <w:rsid w:val="002C2B68"/>
    <w:rPr>
      <w:b/>
      <w:bCs/>
    </w:rPr>
  </w:style>
  <w:style w:type="character" w:customStyle="1" w:styleId="CommentSubjectChar">
    <w:name w:val="Comment Subject Char"/>
    <w:basedOn w:val="CommentTextChar"/>
    <w:link w:val="CommentSubject"/>
    <w:uiPriority w:val="99"/>
    <w:semiHidden/>
    <w:rsid w:val="002C2B68"/>
    <w:rPr>
      <w:rFonts w:ascii="Arial Mäori" w:hAnsi="Arial Mäori"/>
      <w:b/>
      <w:bCs/>
      <w:lang w:eastAsia="en-US"/>
    </w:rPr>
  </w:style>
  <w:style w:type="paragraph" w:styleId="Revision">
    <w:name w:val="Revision"/>
    <w:hidden/>
    <w:uiPriority w:val="99"/>
    <w:semiHidden/>
    <w:rsid w:val="00EC6A50"/>
    <w:rPr>
      <w:rFonts w:ascii="Arial Mäori" w:hAnsi="Arial Mäori"/>
      <w:sz w:val="21"/>
      <w:szCs w:val="22"/>
      <w:lang w:eastAsia="en-US"/>
    </w:rPr>
  </w:style>
  <w:style w:type="paragraph" w:styleId="ListParagraph">
    <w:name w:val="List Paragraph"/>
    <w:basedOn w:val="Normal"/>
    <w:uiPriority w:val="34"/>
    <w:qFormat/>
    <w:rsid w:val="004A1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BEF"/>
    <w:pPr>
      <w:spacing w:after="100"/>
    </w:pPr>
    <w:rPr>
      <w:rFonts w:ascii="Arial Mäori" w:hAnsi="Arial Mäori"/>
      <w:sz w:val="21"/>
      <w:szCs w:val="22"/>
      <w:lang w:eastAsia="en-US"/>
    </w:rPr>
  </w:style>
  <w:style w:type="paragraph" w:styleId="Heading1">
    <w:name w:val="heading 1"/>
    <w:basedOn w:val="Normal"/>
    <w:next w:val="Normal"/>
    <w:link w:val="Heading1Char"/>
    <w:autoRedefine/>
    <w:qFormat/>
    <w:rsid w:val="00D013ED"/>
    <w:pPr>
      <w:keepNext/>
      <w:spacing w:before="200" w:after="400"/>
      <w:jc w:val="center"/>
      <w:outlineLvl w:val="0"/>
    </w:pPr>
    <w:rPr>
      <w:rFonts w:eastAsia="Times New Roman"/>
      <w:b/>
      <w:bCs/>
      <w:kern w:val="28"/>
      <w:sz w:val="28"/>
      <w:szCs w:val="24"/>
      <w:lang w:val="en-GB"/>
    </w:rPr>
  </w:style>
  <w:style w:type="paragraph" w:styleId="Heading2">
    <w:name w:val="heading 2"/>
    <w:basedOn w:val="Normal"/>
    <w:next w:val="Normal"/>
    <w:link w:val="Heading2Char"/>
    <w:autoRedefine/>
    <w:qFormat/>
    <w:rsid w:val="00AB1065"/>
    <w:pPr>
      <w:keepNext/>
      <w:tabs>
        <w:tab w:val="left" w:pos="284"/>
      </w:tabs>
      <w:spacing w:before="360" w:after="120"/>
      <w:ind w:right="680"/>
      <w:outlineLvl w:val="1"/>
    </w:pPr>
    <w:rPr>
      <w:rFonts w:eastAsia="Times New Roman"/>
      <w:bCs/>
      <w:sz w:val="34"/>
      <w:szCs w:val="24"/>
      <w:lang w:val="en-GB"/>
    </w:rPr>
  </w:style>
  <w:style w:type="paragraph" w:styleId="Heading3">
    <w:name w:val="heading 3"/>
    <w:basedOn w:val="Normal"/>
    <w:next w:val="Normal"/>
    <w:link w:val="Heading3Char"/>
    <w:uiPriority w:val="9"/>
    <w:unhideWhenUsed/>
    <w:qFormat/>
    <w:rsid w:val="00AB1065"/>
    <w:pPr>
      <w:keepNext/>
      <w:keepLines/>
      <w:spacing w:before="240" w:after="120" w:line="280" w:lineRule="exact"/>
      <w:outlineLvl w:val="2"/>
    </w:pPr>
    <w:rPr>
      <w:rFonts w:eastAsia="Times New Roman"/>
      <w:b/>
      <w:bCs/>
      <w:sz w:val="28"/>
    </w:rPr>
  </w:style>
  <w:style w:type="paragraph" w:styleId="Heading4">
    <w:name w:val="heading 4"/>
    <w:basedOn w:val="Normal"/>
    <w:next w:val="Normal"/>
    <w:link w:val="Heading4Char"/>
    <w:uiPriority w:val="9"/>
    <w:unhideWhenUsed/>
    <w:qFormat/>
    <w:rsid w:val="00AB1065"/>
    <w:pPr>
      <w:keepNext/>
      <w:keepLines/>
      <w:spacing w:before="240" w:after="60" w:line="240" w:lineRule="exact"/>
      <w:outlineLvl w:val="3"/>
    </w:pPr>
    <w:rPr>
      <w:rFonts w:eastAsia="Times New Roman"/>
      <w:b/>
      <w:bCs/>
      <w:iCs/>
      <w:sz w:val="24"/>
    </w:rPr>
  </w:style>
  <w:style w:type="paragraph" w:styleId="Heading5">
    <w:name w:val="heading 5"/>
    <w:basedOn w:val="Normal"/>
    <w:next w:val="Normal"/>
    <w:link w:val="Heading5Char"/>
    <w:uiPriority w:val="9"/>
    <w:unhideWhenUsed/>
    <w:qFormat/>
    <w:rsid w:val="00AB1065"/>
    <w:pPr>
      <w:spacing w:before="240" w:after="60"/>
      <w:outlineLvl w:val="4"/>
    </w:pPr>
    <w:rPr>
      <w:rFonts w:eastAsia="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Zreporttitlesubhead">
    <w:name w:val="SNZ report title  subhead"/>
    <w:basedOn w:val="Normal"/>
    <w:autoRedefine/>
    <w:rsid w:val="00B64926"/>
    <w:pPr>
      <w:spacing w:before="240" w:after="0"/>
      <w:ind w:right="-1284"/>
      <w:jc w:val="right"/>
      <w:outlineLvl w:val="0"/>
    </w:pPr>
    <w:rPr>
      <w:rFonts w:ascii="STATSsans Regular" w:eastAsia="Times" w:hAnsi="STATSsans Regular"/>
      <w:sz w:val="32"/>
      <w:szCs w:val="20"/>
      <w:lang w:val="en-US" w:eastAsia="en-NZ"/>
    </w:rPr>
  </w:style>
  <w:style w:type="paragraph" w:customStyle="1" w:styleId="SNZreporttitleheader">
    <w:name w:val="SNZ report title header"/>
    <w:basedOn w:val="Normal"/>
    <w:autoRedefine/>
    <w:rsid w:val="00B64926"/>
    <w:pPr>
      <w:widowControl w:val="0"/>
      <w:suppressAutoHyphens/>
      <w:autoSpaceDE w:val="0"/>
      <w:autoSpaceDN w:val="0"/>
      <w:adjustRightInd w:val="0"/>
      <w:spacing w:before="40" w:after="0" w:line="200" w:lineRule="atLeast"/>
      <w:ind w:right="-1134"/>
      <w:jc w:val="right"/>
      <w:textAlignment w:val="center"/>
    </w:pPr>
    <w:rPr>
      <w:rFonts w:ascii="STATSsans Light" w:eastAsia="Times New Roman" w:hAnsi="STATSsans Light"/>
      <w:color w:val="000000"/>
      <w:sz w:val="16"/>
      <w:szCs w:val="20"/>
      <w:lang w:val="en-GB" w:eastAsia="en-NZ"/>
    </w:rPr>
  </w:style>
  <w:style w:type="paragraph" w:customStyle="1" w:styleId="SNZreportbullet1">
    <w:name w:val="SNZ report bullet 1"/>
    <w:basedOn w:val="Normal"/>
    <w:autoRedefine/>
    <w:rsid w:val="001A1105"/>
    <w:pPr>
      <w:numPr>
        <w:numId w:val="1"/>
      </w:numPr>
    </w:pPr>
    <w:rPr>
      <w:rFonts w:ascii="STATSsans Light" w:eastAsia="Times" w:hAnsi="STATSsans Light"/>
      <w:sz w:val="20"/>
      <w:szCs w:val="20"/>
      <w:lang w:val="en-US" w:eastAsia="en-NZ"/>
    </w:rPr>
  </w:style>
  <w:style w:type="paragraph" w:customStyle="1" w:styleId="SNZreportbullet2">
    <w:name w:val="SNZ report bullet 2"/>
    <w:basedOn w:val="SNZreportbullet1"/>
    <w:autoRedefine/>
    <w:rsid w:val="001A1105"/>
    <w:pPr>
      <w:numPr>
        <w:numId w:val="2"/>
      </w:numPr>
    </w:pPr>
  </w:style>
  <w:style w:type="paragraph" w:customStyle="1" w:styleId="SNZreportheading3">
    <w:name w:val="SNZ report heading 3"/>
    <w:basedOn w:val="Normal"/>
    <w:autoRedefine/>
    <w:rsid w:val="001A1105"/>
    <w:pPr>
      <w:outlineLvl w:val="0"/>
    </w:pPr>
    <w:rPr>
      <w:rFonts w:ascii="STATSsans Regular" w:eastAsia="Times" w:hAnsi="STATSsans Regular"/>
      <w:sz w:val="24"/>
      <w:szCs w:val="20"/>
      <w:shd w:val="pct10" w:color="auto" w:fill="auto"/>
      <w:lang w:val="en-US" w:eastAsia="en-NZ"/>
    </w:rPr>
  </w:style>
  <w:style w:type="paragraph" w:customStyle="1" w:styleId="SNZreportheading4">
    <w:name w:val="SNZ report heading 4"/>
    <w:basedOn w:val="SNZreportheading3"/>
    <w:autoRedefine/>
    <w:rsid w:val="001A1105"/>
    <w:pPr>
      <w:spacing w:after="0"/>
    </w:pPr>
    <w:rPr>
      <w:sz w:val="20"/>
    </w:rPr>
  </w:style>
  <w:style w:type="paragraph" w:customStyle="1" w:styleId="SNZreportheading5">
    <w:name w:val="SNZ report heading 5"/>
    <w:basedOn w:val="SNZreportheading4"/>
    <w:autoRedefine/>
    <w:rsid w:val="001A1105"/>
    <w:rPr>
      <w:sz w:val="18"/>
    </w:rPr>
  </w:style>
  <w:style w:type="paragraph" w:customStyle="1" w:styleId="SNZreportheading6">
    <w:name w:val="SNZ report heading 6"/>
    <w:basedOn w:val="SNZreportheading5"/>
    <w:autoRedefine/>
    <w:rsid w:val="001A1105"/>
    <w:rPr>
      <w:rFonts w:ascii="StatsSans LightItalic" w:hAnsi="StatsSans LightItalic"/>
    </w:rPr>
  </w:style>
  <w:style w:type="paragraph" w:customStyle="1" w:styleId="SNZreportfigurenumber">
    <w:name w:val="SNZ report figure number"/>
    <w:basedOn w:val="Normal"/>
    <w:link w:val="SNZreportfigurenumberChar"/>
    <w:autoRedefine/>
    <w:qFormat/>
    <w:rsid w:val="001A1105"/>
    <w:rPr>
      <w:rFonts w:ascii="STATSsans Light" w:eastAsia="Times" w:hAnsi="STATSsans Light"/>
      <w:bCs/>
      <w:sz w:val="20"/>
      <w:szCs w:val="20"/>
      <w:lang w:val="en-US" w:eastAsia="en-NZ"/>
    </w:rPr>
  </w:style>
  <w:style w:type="character" w:customStyle="1" w:styleId="SNZreportfigurenumberChar">
    <w:name w:val="SNZ report figure number Char"/>
    <w:basedOn w:val="DefaultParagraphFont"/>
    <w:link w:val="SNZreportfigurenumber"/>
    <w:rsid w:val="001A1105"/>
    <w:rPr>
      <w:rFonts w:ascii="STATSsans Light" w:eastAsia="Times" w:hAnsi="STATSsans Light" w:cs="Times New Roman"/>
      <w:bCs/>
      <w:sz w:val="20"/>
      <w:szCs w:val="20"/>
      <w:lang w:val="en-US" w:eastAsia="en-NZ"/>
    </w:rPr>
  </w:style>
  <w:style w:type="paragraph" w:styleId="FootnoteText">
    <w:name w:val="footnote text"/>
    <w:basedOn w:val="Normal"/>
    <w:link w:val="FootnoteTextChar"/>
    <w:uiPriority w:val="99"/>
    <w:semiHidden/>
    <w:unhideWhenUsed/>
    <w:rsid w:val="00D013ED"/>
    <w:pPr>
      <w:spacing w:after="0"/>
    </w:pPr>
    <w:rPr>
      <w:sz w:val="20"/>
      <w:szCs w:val="20"/>
    </w:rPr>
  </w:style>
  <w:style w:type="character" w:customStyle="1" w:styleId="FootnoteTextChar">
    <w:name w:val="Footnote Text Char"/>
    <w:basedOn w:val="DefaultParagraphFont"/>
    <w:link w:val="FootnoteText"/>
    <w:uiPriority w:val="99"/>
    <w:semiHidden/>
    <w:rsid w:val="00D013ED"/>
    <w:rPr>
      <w:sz w:val="20"/>
      <w:szCs w:val="20"/>
    </w:rPr>
  </w:style>
  <w:style w:type="character" w:styleId="FootnoteReference">
    <w:name w:val="footnote reference"/>
    <w:basedOn w:val="DefaultParagraphFont"/>
    <w:uiPriority w:val="99"/>
    <w:semiHidden/>
    <w:unhideWhenUsed/>
    <w:rsid w:val="00D013ED"/>
    <w:rPr>
      <w:vertAlign w:val="superscript"/>
    </w:rPr>
  </w:style>
  <w:style w:type="character" w:customStyle="1" w:styleId="Heading1Char">
    <w:name w:val="Heading 1 Char"/>
    <w:basedOn w:val="DefaultParagraphFont"/>
    <w:link w:val="Heading1"/>
    <w:rsid w:val="00D013ED"/>
    <w:rPr>
      <w:rFonts w:ascii="Arial Mäori" w:eastAsia="Times New Roman" w:hAnsi="Arial Mäori" w:cs="Times New Roman"/>
      <w:b/>
      <w:bCs/>
      <w:kern w:val="28"/>
      <w:sz w:val="28"/>
      <w:szCs w:val="24"/>
      <w:lang w:val="en-GB"/>
    </w:rPr>
  </w:style>
  <w:style w:type="character" w:customStyle="1" w:styleId="Heading2Char">
    <w:name w:val="Heading 2 Char"/>
    <w:basedOn w:val="DefaultParagraphFont"/>
    <w:link w:val="Heading2"/>
    <w:rsid w:val="00AB1065"/>
    <w:rPr>
      <w:rFonts w:ascii="Arial Mäori" w:eastAsia="Times New Roman" w:hAnsi="Arial Mäori"/>
      <w:bCs/>
      <w:sz w:val="34"/>
      <w:szCs w:val="24"/>
      <w:lang w:val="en-GB" w:eastAsia="en-US"/>
    </w:rPr>
  </w:style>
  <w:style w:type="paragraph" w:customStyle="1" w:styleId="Author">
    <w:name w:val="Author"/>
    <w:basedOn w:val="SNZreportheading4"/>
    <w:link w:val="AuthorChar"/>
    <w:autoRedefine/>
    <w:rsid w:val="00D013ED"/>
    <w:pPr>
      <w:tabs>
        <w:tab w:val="left" w:pos="1361"/>
        <w:tab w:val="left" w:pos="1701"/>
        <w:tab w:val="left" w:pos="2041"/>
      </w:tabs>
      <w:spacing w:after="120"/>
      <w:jc w:val="center"/>
      <w:outlineLvl w:val="9"/>
    </w:pPr>
    <w:rPr>
      <w:rFonts w:ascii="Arial Mäori" w:eastAsia="Times New Roman" w:hAnsi="Arial Mäori"/>
      <w:sz w:val="22"/>
      <w:szCs w:val="24"/>
      <w:shd w:val="clear" w:color="auto" w:fill="auto"/>
      <w:lang w:eastAsia="en-US"/>
    </w:rPr>
  </w:style>
  <w:style w:type="character" w:customStyle="1" w:styleId="AuthorChar">
    <w:name w:val="Author Char"/>
    <w:basedOn w:val="BodyTextChar"/>
    <w:link w:val="Author"/>
    <w:rsid w:val="00D013ED"/>
    <w:rPr>
      <w:rFonts w:ascii="Arial Mäori" w:eastAsia="Times New Roman" w:hAnsi="Arial Mäori" w:cs="Times New Roman"/>
      <w:szCs w:val="24"/>
      <w:lang w:val="en-US"/>
    </w:rPr>
  </w:style>
  <w:style w:type="paragraph" w:styleId="BodyText">
    <w:name w:val="Body Text"/>
    <w:basedOn w:val="Normal"/>
    <w:link w:val="BodyTextChar"/>
    <w:uiPriority w:val="99"/>
    <w:unhideWhenUsed/>
    <w:rsid w:val="00D013ED"/>
    <w:pPr>
      <w:spacing w:after="120"/>
    </w:pPr>
  </w:style>
  <w:style w:type="character" w:customStyle="1" w:styleId="BodyTextChar">
    <w:name w:val="Body Text Char"/>
    <w:basedOn w:val="DefaultParagraphFont"/>
    <w:link w:val="BodyText"/>
    <w:uiPriority w:val="99"/>
    <w:rsid w:val="00D013ED"/>
    <w:rPr>
      <w:rFonts w:ascii="Arial Mäori" w:hAnsi="Arial Mäori"/>
    </w:rPr>
  </w:style>
  <w:style w:type="character" w:styleId="Hyperlink">
    <w:name w:val="Hyperlink"/>
    <w:basedOn w:val="DefaultParagraphFont"/>
    <w:uiPriority w:val="99"/>
    <w:unhideWhenUsed/>
    <w:rsid w:val="00D013ED"/>
    <w:rPr>
      <w:color w:val="0000FF"/>
      <w:u w:val="single"/>
    </w:rPr>
  </w:style>
  <w:style w:type="paragraph" w:styleId="Footer">
    <w:name w:val="footer"/>
    <w:basedOn w:val="Normal"/>
    <w:link w:val="FooterChar"/>
    <w:autoRedefine/>
    <w:uiPriority w:val="99"/>
    <w:rsid w:val="007267B6"/>
    <w:pPr>
      <w:tabs>
        <w:tab w:val="center" w:pos="4320"/>
        <w:tab w:val="right" w:pos="8640"/>
      </w:tabs>
      <w:spacing w:after="0"/>
      <w:jc w:val="center"/>
    </w:pPr>
    <w:rPr>
      <w:rFonts w:eastAsia="Times New Roman"/>
      <w:noProof/>
      <w:sz w:val="18"/>
      <w:szCs w:val="18"/>
      <w:lang w:val="en-GB"/>
    </w:rPr>
  </w:style>
  <w:style w:type="character" w:customStyle="1" w:styleId="FooterChar">
    <w:name w:val="Footer Char"/>
    <w:basedOn w:val="DefaultParagraphFont"/>
    <w:link w:val="Footer"/>
    <w:uiPriority w:val="99"/>
    <w:rsid w:val="007267B6"/>
    <w:rPr>
      <w:rFonts w:ascii="Arial Mäori" w:eastAsia="Times New Roman" w:hAnsi="Arial Mäori"/>
      <w:noProof/>
      <w:sz w:val="18"/>
      <w:szCs w:val="18"/>
      <w:lang w:val="en-GB" w:eastAsia="en-US"/>
    </w:rPr>
  </w:style>
  <w:style w:type="paragraph" w:customStyle="1" w:styleId="Num-DocParagraph">
    <w:name w:val="Num-Doc Paragraph"/>
    <w:basedOn w:val="BodyText"/>
    <w:rsid w:val="00876724"/>
    <w:pPr>
      <w:tabs>
        <w:tab w:val="left" w:pos="1361"/>
        <w:tab w:val="left" w:pos="1701"/>
        <w:tab w:val="left" w:pos="2041"/>
      </w:tabs>
    </w:pPr>
    <w:rPr>
      <w:rFonts w:eastAsia="Times New Roman"/>
      <w:lang w:val="en-US"/>
    </w:rPr>
  </w:style>
  <w:style w:type="character" w:customStyle="1" w:styleId="Heading3Char">
    <w:name w:val="Heading 3 Char"/>
    <w:basedOn w:val="DefaultParagraphFont"/>
    <w:link w:val="Heading3"/>
    <w:uiPriority w:val="9"/>
    <w:rsid w:val="00AB1065"/>
    <w:rPr>
      <w:rFonts w:ascii="Arial Mäori" w:eastAsia="Times New Roman" w:hAnsi="Arial Mäori"/>
      <w:b/>
      <w:bCs/>
      <w:sz w:val="28"/>
      <w:szCs w:val="22"/>
      <w:lang w:eastAsia="en-US"/>
    </w:rPr>
  </w:style>
  <w:style w:type="character" w:customStyle="1" w:styleId="Heading4Char">
    <w:name w:val="Heading 4 Char"/>
    <w:basedOn w:val="DefaultParagraphFont"/>
    <w:link w:val="Heading4"/>
    <w:uiPriority w:val="9"/>
    <w:rsid w:val="00AB1065"/>
    <w:rPr>
      <w:rFonts w:ascii="Arial Mäori" w:eastAsia="Times New Roman" w:hAnsi="Arial Mäori"/>
      <w:b/>
      <w:bCs/>
      <w:iCs/>
      <w:sz w:val="24"/>
      <w:szCs w:val="22"/>
      <w:lang w:eastAsia="en-US"/>
    </w:rPr>
  </w:style>
  <w:style w:type="paragraph" w:styleId="ListBullet">
    <w:name w:val="List Bullet"/>
    <w:basedOn w:val="Normal"/>
    <w:autoRedefine/>
    <w:rsid w:val="00735B41"/>
    <w:pPr>
      <w:numPr>
        <w:numId w:val="11"/>
      </w:numPr>
      <w:spacing w:after="120"/>
      <w:ind w:right="340"/>
    </w:pPr>
    <w:rPr>
      <w:rFonts w:eastAsia="Times New Roman"/>
      <w:lang w:val="en-GB"/>
    </w:rPr>
  </w:style>
  <w:style w:type="paragraph" w:styleId="ListNumber">
    <w:name w:val="List Number"/>
    <w:basedOn w:val="Normal"/>
    <w:autoRedefine/>
    <w:rsid w:val="00402BC7"/>
    <w:pPr>
      <w:numPr>
        <w:numId w:val="4"/>
      </w:numPr>
      <w:tabs>
        <w:tab w:val="clear" w:pos="1088"/>
        <w:tab w:val="left" w:pos="0"/>
      </w:tabs>
      <w:spacing w:after="120"/>
      <w:ind w:left="0" w:right="680" w:firstLine="284"/>
      <w:jc w:val="both"/>
    </w:pPr>
    <w:rPr>
      <w:rFonts w:eastAsia="Times New Roman"/>
      <w:lang w:val="en-GB"/>
    </w:rPr>
  </w:style>
  <w:style w:type="paragraph" w:styleId="ListNumber2">
    <w:name w:val="List Number 2"/>
    <w:basedOn w:val="Normal"/>
    <w:rsid w:val="00876724"/>
    <w:pPr>
      <w:numPr>
        <w:ilvl w:val="1"/>
        <w:numId w:val="4"/>
      </w:numPr>
      <w:spacing w:after="120"/>
      <w:ind w:right="680"/>
      <w:jc w:val="both"/>
    </w:pPr>
    <w:rPr>
      <w:rFonts w:ascii="Times New Roman" w:eastAsia="Times New Roman" w:hAnsi="Times New Roman"/>
      <w:lang w:val="en-GB"/>
    </w:rPr>
  </w:style>
  <w:style w:type="paragraph" w:styleId="ListNumber3">
    <w:name w:val="List Number 3"/>
    <w:basedOn w:val="Normal"/>
    <w:rsid w:val="00876724"/>
    <w:pPr>
      <w:numPr>
        <w:ilvl w:val="2"/>
        <w:numId w:val="4"/>
      </w:numPr>
      <w:spacing w:after="120"/>
      <w:ind w:right="680"/>
      <w:jc w:val="both"/>
    </w:pPr>
    <w:rPr>
      <w:rFonts w:ascii="Times New Roman" w:eastAsia="Times New Roman" w:hAnsi="Times New Roman"/>
      <w:lang w:val="en-GB"/>
    </w:rPr>
  </w:style>
  <w:style w:type="paragraph" w:styleId="ListNumber4">
    <w:name w:val="List Number 4"/>
    <w:basedOn w:val="Normal"/>
    <w:rsid w:val="00876724"/>
    <w:pPr>
      <w:numPr>
        <w:ilvl w:val="3"/>
        <w:numId w:val="4"/>
      </w:numPr>
      <w:spacing w:after="120"/>
      <w:ind w:right="680"/>
      <w:jc w:val="both"/>
    </w:pPr>
    <w:rPr>
      <w:rFonts w:ascii="Times New Roman" w:eastAsia="Times New Roman" w:hAnsi="Times New Roman"/>
      <w:lang w:val="en-GB"/>
    </w:rPr>
  </w:style>
  <w:style w:type="paragraph" w:styleId="ListNumber5">
    <w:name w:val="List Number 5"/>
    <w:basedOn w:val="Normal"/>
    <w:rsid w:val="00876724"/>
    <w:pPr>
      <w:numPr>
        <w:ilvl w:val="4"/>
        <w:numId w:val="4"/>
      </w:numPr>
      <w:tabs>
        <w:tab w:val="left" w:pos="2722"/>
      </w:tabs>
      <w:spacing w:after="120"/>
      <w:ind w:right="680"/>
      <w:jc w:val="both"/>
    </w:pPr>
    <w:rPr>
      <w:rFonts w:ascii="Times New Roman" w:eastAsia="Times New Roman" w:hAnsi="Times New Roman"/>
      <w:lang w:val="en-GB"/>
    </w:rPr>
  </w:style>
  <w:style w:type="paragraph" w:customStyle="1" w:styleId="TableTitle11pt">
    <w:name w:val="Table Title + 11 pt"/>
    <w:basedOn w:val="Normal"/>
    <w:autoRedefine/>
    <w:rsid w:val="00876724"/>
    <w:pPr>
      <w:keepNext/>
      <w:spacing w:before="240" w:after="240"/>
    </w:pPr>
    <w:rPr>
      <w:rFonts w:eastAsia="Times New Roman" w:cs="Arial"/>
      <w:b/>
      <w:bCs/>
      <w:szCs w:val="20"/>
      <w:lang w:val="en-GB"/>
    </w:rPr>
  </w:style>
  <w:style w:type="paragraph" w:styleId="BalloonText">
    <w:name w:val="Balloon Text"/>
    <w:basedOn w:val="Normal"/>
    <w:link w:val="BalloonTextChar"/>
    <w:uiPriority w:val="99"/>
    <w:semiHidden/>
    <w:unhideWhenUsed/>
    <w:rsid w:val="008767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724"/>
    <w:rPr>
      <w:rFonts w:ascii="Tahoma" w:hAnsi="Tahoma" w:cs="Tahoma"/>
      <w:sz w:val="16"/>
      <w:szCs w:val="16"/>
    </w:rPr>
  </w:style>
  <w:style w:type="character" w:styleId="IntenseEmphasis">
    <w:name w:val="Intense Emphasis"/>
    <w:basedOn w:val="DefaultParagraphFont"/>
    <w:uiPriority w:val="21"/>
    <w:qFormat/>
    <w:rsid w:val="00876724"/>
    <w:rPr>
      <w:b/>
      <w:bCs/>
      <w:i/>
      <w:iCs/>
      <w:color w:val="4F81BD"/>
    </w:rPr>
  </w:style>
  <w:style w:type="paragraph" w:customStyle="1" w:styleId="SourceDescription">
    <w:name w:val="Source Description"/>
    <w:basedOn w:val="Normal"/>
    <w:next w:val="BodyText"/>
    <w:link w:val="SourceDescriptionChar"/>
    <w:autoRedefine/>
    <w:rsid w:val="00876724"/>
    <w:pPr>
      <w:tabs>
        <w:tab w:val="left" w:pos="851"/>
      </w:tabs>
      <w:spacing w:before="60" w:after="360"/>
    </w:pPr>
    <w:rPr>
      <w:rFonts w:eastAsia="Times New Roman" w:cs="Arial"/>
      <w:sz w:val="18"/>
      <w:szCs w:val="16"/>
      <w:lang w:val="en-GB"/>
    </w:rPr>
  </w:style>
  <w:style w:type="paragraph" w:customStyle="1" w:styleId="Heading41">
    <w:name w:val="Heading 41"/>
    <w:basedOn w:val="Heading3"/>
    <w:link w:val="heading4Char0"/>
    <w:qFormat/>
    <w:rsid w:val="00876724"/>
    <w:rPr>
      <w:b w:val="0"/>
      <w:sz w:val="20"/>
    </w:rPr>
  </w:style>
  <w:style w:type="character" w:customStyle="1" w:styleId="heading4Char0">
    <w:name w:val="heading 4 Char"/>
    <w:basedOn w:val="Heading3Char"/>
    <w:link w:val="Heading41"/>
    <w:rsid w:val="00876724"/>
    <w:rPr>
      <w:rFonts w:ascii="Arial Mäori" w:eastAsia="Times New Roman" w:hAnsi="Arial Mäori"/>
      <w:b/>
      <w:bCs/>
      <w:sz w:val="20"/>
      <w:szCs w:val="22"/>
      <w:lang w:eastAsia="en-US"/>
    </w:rPr>
  </w:style>
  <w:style w:type="character" w:customStyle="1" w:styleId="SourceDescriptionChar">
    <w:name w:val="Source Description Char"/>
    <w:basedOn w:val="DefaultParagraphFont"/>
    <w:link w:val="SourceDescription"/>
    <w:rsid w:val="00876724"/>
    <w:rPr>
      <w:rFonts w:ascii="Arial Mäori" w:eastAsia="Times New Roman" w:hAnsi="Arial Mäori" w:cs="Arial"/>
      <w:sz w:val="18"/>
      <w:szCs w:val="16"/>
      <w:lang w:val="en-GB"/>
    </w:rPr>
  </w:style>
  <w:style w:type="paragraph" w:customStyle="1" w:styleId="TableNote">
    <w:name w:val="Table Note"/>
    <w:basedOn w:val="Normal"/>
    <w:autoRedefine/>
    <w:rsid w:val="00876724"/>
    <w:pPr>
      <w:tabs>
        <w:tab w:val="left" w:pos="1021"/>
      </w:tabs>
      <w:spacing w:after="0"/>
    </w:pPr>
    <w:rPr>
      <w:rFonts w:eastAsia="Times New Roman" w:cs="Arial"/>
      <w:sz w:val="18"/>
      <w:szCs w:val="16"/>
      <w:lang w:val="en-US"/>
    </w:rPr>
  </w:style>
  <w:style w:type="paragraph" w:customStyle="1" w:styleId="Graphic">
    <w:name w:val="Graphic"/>
    <w:basedOn w:val="Normal"/>
    <w:next w:val="BodyText"/>
    <w:rsid w:val="00876724"/>
    <w:pPr>
      <w:spacing w:after="240"/>
      <w:jc w:val="center"/>
    </w:pPr>
    <w:rPr>
      <w:rFonts w:ascii="Times New Roman" w:eastAsia="Times New Roman" w:hAnsi="Times New Roman"/>
      <w:lang w:val="en-GB"/>
    </w:rPr>
  </w:style>
  <w:style w:type="paragraph" w:customStyle="1" w:styleId="StyleFigureTitle111ptBefore0ptAfter6pt">
    <w:name w:val="Style Figure Title1 + 11 pt Before:  0 pt After:  6 pt"/>
    <w:basedOn w:val="Normal"/>
    <w:autoRedefine/>
    <w:rsid w:val="00876724"/>
    <w:pPr>
      <w:keepNext/>
      <w:spacing w:after="120"/>
    </w:pPr>
    <w:rPr>
      <w:rFonts w:eastAsia="Times New Roman"/>
      <w:b/>
      <w:bCs/>
      <w:szCs w:val="20"/>
      <w:lang w:val="en-GB"/>
    </w:rPr>
  </w:style>
  <w:style w:type="paragraph" w:customStyle="1" w:styleId="SNZbodytext">
    <w:name w:val="SNZ body text"/>
    <w:basedOn w:val="Normal"/>
    <w:link w:val="SNZbodytextChar"/>
    <w:autoRedefine/>
    <w:rsid w:val="00876724"/>
    <w:rPr>
      <w:rFonts w:ascii="STATSsans Light" w:hAnsi="STATSsans Light"/>
      <w:bCs/>
      <w:sz w:val="20"/>
    </w:rPr>
  </w:style>
  <w:style w:type="character" w:styleId="Emphasis">
    <w:name w:val="Emphasis"/>
    <w:basedOn w:val="DefaultParagraphFont"/>
    <w:uiPriority w:val="20"/>
    <w:qFormat/>
    <w:rsid w:val="00876724"/>
    <w:rPr>
      <w:i/>
      <w:iCs/>
    </w:rPr>
  </w:style>
  <w:style w:type="character" w:customStyle="1" w:styleId="SNZbodytextChar">
    <w:name w:val="SNZ body text Char"/>
    <w:basedOn w:val="DefaultParagraphFont"/>
    <w:link w:val="SNZbodytext"/>
    <w:rsid w:val="00876724"/>
    <w:rPr>
      <w:rFonts w:ascii="STATSsans Light" w:eastAsia="Calibri" w:hAnsi="STATSsans Light" w:cs="Times New Roman"/>
      <w:bCs/>
      <w:sz w:val="20"/>
    </w:rPr>
  </w:style>
  <w:style w:type="paragraph" w:styleId="Header">
    <w:name w:val="header"/>
    <w:basedOn w:val="Normal"/>
    <w:link w:val="HeaderChar"/>
    <w:unhideWhenUsed/>
    <w:rsid w:val="007267B6"/>
    <w:pPr>
      <w:tabs>
        <w:tab w:val="center" w:pos="4513"/>
        <w:tab w:val="right" w:pos="9026"/>
      </w:tabs>
    </w:pPr>
  </w:style>
  <w:style w:type="character" w:customStyle="1" w:styleId="HeaderChar">
    <w:name w:val="Header Char"/>
    <w:basedOn w:val="DefaultParagraphFont"/>
    <w:link w:val="Header"/>
    <w:uiPriority w:val="99"/>
    <w:rsid w:val="007267B6"/>
    <w:rPr>
      <w:rFonts w:ascii="Arial Mäori" w:hAnsi="Arial Mäori"/>
      <w:sz w:val="22"/>
      <w:szCs w:val="22"/>
      <w:lang w:eastAsia="en-US"/>
    </w:rPr>
  </w:style>
  <w:style w:type="paragraph" w:customStyle="1" w:styleId="Copyrightinfoheadings">
    <w:name w:val="Copyright info headings"/>
    <w:basedOn w:val="Normal"/>
    <w:qFormat/>
    <w:rsid w:val="00A00E15"/>
    <w:pPr>
      <w:spacing w:before="300" w:after="0"/>
    </w:pPr>
    <w:rPr>
      <w:b/>
      <w:sz w:val="20"/>
    </w:rPr>
  </w:style>
  <w:style w:type="paragraph" w:customStyle="1" w:styleId="Copyrightinfotext">
    <w:name w:val="Copyright info text"/>
    <w:basedOn w:val="Copyrightinfoheadings"/>
    <w:qFormat/>
    <w:rsid w:val="00A00E15"/>
    <w:pPr>
      <w:spacing w:before="0" w:line="240" w:lineRule="exact"/>
    </w:pPr>
    <w:rPr>
      <w:b w:val="0"/>
    </w:rPr>
  </w:style>
  <w:style w:type="character" w:customStyle="1" w:styleId="Heading5Char">
    <w:name w:val="Heading 5 Char"/>
    <w:basedOn w:val="DefaultParagraphFont"/>
    <w:link w:val="Heading5"/>
    <w:uiPriority w:val="9"/>
    <w:rsid w:val="00AB1065"/>
    <w:rPr>
      <w:rFonts w:ascii="Arial Mäori" w:eastAsia="Times New Roman" w:hAnsi="Arial Mäori" w:cs="Times New Roman"/>
      <w:b/>
      <w:bCs/>
      <w:i/>
      <w:iCs/>
      <w:sz w:val="21"/>
      <w:szCs w:val="26"/>
      <w:lang w:eastAsia="en-US"/>
    </w:rPr>
  </w:style>
  <w:style w:type="paragraph" w:styleId="Title">
    <w:name w:val="Title"/>
    <w:basedOn w:val="Normal"/>
    <w:next w:val="Normal"/>
    <w:link w:val="TitleChar"/>
    <w:uiPriority w:val="10"/>
    <w:qFormat/>
    <w:rsid w:val="00A77DBA"/>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A77DBA"/>
    <w:rPr>
      <w:rFonts w:ascii="Arial Mäori" w:eastAsia="Times New Roman" w:hAnsi="Arial Mäori" w:cs="Times New Roman"/>
      <w:b/>
      <w:bCs/>
      <w:kern w:val="28"/>
      <w:sz w:val="32"/>
      <w:szCs w:val="32"/>
      <w:lang w:eastAsia="en-US"/>
    </w:rPr>
  </w:style>
  <w:style w:type="paragraph" w:styleId="Subtitle">
    <w:name w:val="Subtitle"/>
    <w:basedOn w:val="Normal"/>
    <w:next w:val="Normal"/>
    <w:link w:val="SubtitleChar"/>
    <w:uiPriority w:val="11"/>
    <w:qFormat/>
    <w:rsid w:val="00AB1065"/>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AB1065"/>
    <w:rPr>
      <w:rFonts w:ascii="Cambria" w:eastAsia="Times New Roman" w:hAnsi="Cambria" w:cs="Times New Roman"/>
      <w:sz w:val="24"/>
      <w:szCs w:val="24"/>
      <w:lang w:eastAsia="en-US"/>
    </w:rPr>
  </w:style>
  <w:style w:type="character" w:styleId="CommentReference">
    <w:name w:val="annotation reference"/>
    <w:basedOn w:val="DefaultParagraphFont"/>
    <w:uiPriority w:val="99"/>
    <w:semiHidden/>
    <w:unhideWhenUsed/>
    <w:rsid w:val="002C2B68"/>
    <w:rPr>
      <w:sz w:val="16"/>
      <w:szCs w:val="16"/>
    </w:rPr>
  </w:style>
  <w:style w:type="paragraph" w:styleId="CommentText">
    <w:name w:val="annotation text"/>
    <w:basedOn w:val="Normal"/>
    <w:link w:val="CommentTextChar"/>
    <w:uiPriority w:val="99"/>
    <w:semiHidden/>
    <w:unhideWhenUsed/>
    <w:rsid w:val="002C2B68"/>
    <w:rPr>
      <w:sz w:val="20"/>
      <w:szCs w:val="20"/>
    </w:rPr>
  </w:style>
  <w:style w:type="character" w:customStyle="1" w:styleId="CommentTextChar">
    <w:name w:val="Comment Text Char"/>
    <w:basedOn w:val="DefaultParagraphFont"/>
    <w:link w:val="CommentText"/>
    <w:uiPriority w:val="99"/>
    <w:semiHidden/>
    <w:rsid w:val="002C2B68"/>
    <w:rPr>
      <w:rFonts w:ascii="Arial Mäori" w:hAnsi="Arial Mäori"/>
      <w:lang w:eastAsia="en-US"/>
    </w:rPr>
  </w:style>
  <w:style w:type="paragraph" w:styleId="CommentSubject">
    <w:name w:val="annotation subject"/>
    <w:basedOn w:val="CommentText"/>
    <w:next w:val="CommentText"/>
    <w:link w:val="CommentSubjectChar"/>
    <w:uiPriority w:val="99"/>
    <w:semiHidden/>
    <w:unhideWhenUsed/>
    <w:rsid w:val="002C2B68"/>
    <w:rPr>
      <w:b/>
      <w:bCs/>
    </w:rPr>
  </w:style>
  <w:style w:type="character" w:customStyle="1" w:styleId="CommentSubjectChar">
    <w:name w:val="Comment Subject Char"/>
    <w:basedOn w:val="CommentTextChar"/>
    <w:link w:val="CommentSubject"/>
    <w:uiPriority w:val="99"/>
    <w:semiHidden/>
    <w:rsid w:val="002C2B68"/>
    <w:rPr>
      <w:rFonts w:ascii="Arial Mäori" w:hAnsi="Arial Mäori"/>
      <w:b/>
      <w:bCs/>
      <w:lang w:eastAsia="en-US"/>
    </w:rPr>
  </w:style>
  <w:style w:type="paragraph" w:styleId="Revision">
    <w:name w:val="Revision"/>
    <w:hidden/>
    <w:uiPriority w:val="99"/>
    <w:semiHidden/>
    <w:rsid w:val="00EC6A50"/>
    <w:rPr>
      <w:rFonts w:ascii="Arial Mäori" w:hAnsi="Arial Mäori"/>
      <w:sz w:val="21"/>
      <w:szCs w:val="22"/>
      <w:lang w:eastAsia="en-US"/>
    </w:rPr>
  </w:style>
  <w:style w:type="paragraph" w:styleId="ListParagraph">
    <w:name w:val="List Paragraph"/>
    <w:basedOn w:val="Normal"/>
    <w:uiPriority w:val="34"/>
    <w:qFormat/>
    <w:rsid w:val="004A1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29449">
      <w:bodyDiv w:val="1"/>
      <w:marLeft w:val="0"/>
      <w:marRight w:val="0"/>
      <w:marTop w:val="0"/>
      <w:marBottom w:val="0"/>
      <w:divBdr>
        <w:top w:val="none" w:sz="0" w:space="0" w:color="auto"/>
        <w:left w:val="none" w:sz="0" w:space="0" w:color="auto"/>
        <w:bottom w:val="none" w:sz="0" w:space="0" w:color="auto"/>
        <w:right w:val="none" w:sz="0" w:space="0" w:color="auto"/>
      </w:divBdr>
    </w:div>
    <w:div w:id="1267957311">
      <w:bodyDiv w:val="1"/>
      <w:marLeft w:val="0"/>
      <w:marRight w:val="0"/>
      <w:marTop w:val="0"/>
      <w:marBottom w:val="0"/>
      <w:divBdr>
        <w:top w:val="none" w:sz="0" w:space="0" w:color="auto"/>
        <w:left w:val="none" w:sz="0" w:space="0" w:color="auto"/>
        <w:bottom w:val="none" w:sz="0" w:space="0" w:color="auto"/>
        <w:right w:val="none" w:sz="0" w:space="0" w:color="auto"/>
      </w:divBdr>
    </w:div>
    <w:div w:id="17059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12.emf"/><Relationship Id="rId39" Type="http://schemas.openxmlformats.org/officeDocument/2006/relationships/hyperlink" Target="http://www.stats.govt.nz" TargetMode="Externa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image" Target="media/image18.emf"/><Relationship Id="rId42" Type="http://schemas.openxmlformats.org/officeDocument/2006/relationships/hyperlink" Target="http://www.stats.govt.nz" TargetMode="External"/><Relationship Id="rId7" Type="http://schemas.openxmlformats.org/officeDocument/2006/relationships/footnotes" Target="footnotes.xml"/><Relationship Id="rId12" Type="http://schemas.openxmlformats.org/officeDocument/2006/relationships/hyperlink" Target="http://creativecommons.org/licenses/by/3.0/nz/deed.en" TargetMode="External"/><Relationship Id="rId17" Type="http://schemas.openxmlformats.org/officeDocument/2006/relationships/image" Target="media/image4.emf"/><Relationship Id="rId25" Type="http://schemas.openxmlformats.org/officeDocument/2006/relationships/image" Target="media/image11.emf"/><Relationship Id="rId33" Type="http://schemas.openxmlformats.org/officeDocument/2006/relationships/footer" Target="footer1.xml"/><Relationship Id="rId38" Type="http://schemas.openxmlformats.org/officeDocument/2006/relationships/hyperlink" Target="http://www.stats.govt.nz"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5.emf"/><Relationship Id="rId41" Type="http://schemas.openxmlformats.org/officeDocument/2006/relationships/hyperlink" Target="http://www.stats.govt.n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s.govt.nz" TargetMode="External"/><Relationship Id="rId24" Type="http://schemas.openxmlformats.org/officeDocument/2006/relationships/image" Target="media/image10.emf"/><Relationship Id="rId32" Type="http://schemas.openxmlformats.org/officeDocument/2006/relationships/header" Target="header1.xml"/><Relationship Id="rId37" Type="http://schemas.openxmlformats.org/officeDocument/2006/relationships/hyperlink" Target="http://www.stats.govt.nz" TargetMode="External"/><Relationship Id="rId40" Type="http://schemas.openxmlformats.org/officeDocument/2006/relationships/hyperlink" Target="http://www.stats.govt.nz" TargetMode="External"/><Relationship Id="rId5" Type="http://schemas.openxmlformats.org/officeDocument/2006/relationships/settings" Target="settings.xml"/><Relationship Id="rId15" Type="http://schemas.openxmlformats.org/officeDocument/2006/relationships/hyperlink" Target="http://www.legislation.govt.nz/act/public/1981/0047/latest/DLM51358.html" TargetMode="External"/><Relationship Id="rId23" Type="http://schemas.openxmlformats.org/officeDocument/2006/relationships/chart" Target="charts/chart1.xml"/><Relationship Id="rId28" Type="http://schemas.openxmlformats.org/officeDocument/2006/relationships/image" Target="media/image14.emf"/><Relationship Id="rId36" Type="http://schemas.openxmlformats.org/officeDocument/2006/relationships/image" Target="media/image20.emf"/><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7.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reativecommons.org/licenses/by/3.0/nz/deed.en" TargetMode="External"/><Relationship Id="rId22" Type="http://schemas.openxmlformats.org/officeDocument/2006/relationships/image" Target="media/image9.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19.emf"/><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wprdfs-mydocs\mydocs$\NWarmke\My%20Documents\NZAE\Updating%20the%20West%20Island\Reconciling%20productiv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aseline="0">
                <a:latin typeface="Arial Mäori" pitchFamily="34" charset="0"/>
              </a:defRPr>
            </a:pPr>
            <a:r>
              <a:rPr lang="en-NZ"/>
              <a:t>Measured sector HLFS vs LVS index </a:t>
            </a:r>
          </a:p>
          <a:p>
            <a:pPr>
              <a:defRPr sz="1100" baseline="0">
                <a:latin typeface="Arial Mäori" pitchFamily="34" charset="0"/>
              </a:defRPr>
            </a:pPr>
            <a:r>
              <a:rPr lang="en-NZ" sz="1000" b="0"/>
              <a:t>1996–2011 (1996=1000)</a:t>
            </a:r>
          </a:p>
        </c:rich>
      </c:tx>
      <c:layout>
        <c:manualLayout>
          <c:xMode val="edge"/>
          <c:yMode val="edge"/>
          <c:x val="0.24477615846434891"/>
          <c:y val="0"/>
        </c:manualLayout>
      </c:layout>
      <c:overlay val="1"/>
    </c:title>
    <c:autoTitleDeleted val="0"/>
    <c:plotArea>
      <c:layout>
        <c:manualLayout>
          <c:layoutTarget val="inner"/>
          <c:xMode val="edge"/>
          <c:yMode val="edge"/>
          <c:x val="7.7120297462817164E-2"/>
          <c:y val="0.19851195683872849"/>
          <c:w val="0.89474134281601891"/>
          <c:h val="0.56989829396325464"/>
        </c:manualLayout>
      </c:layout>
      <c:lineChart>
        <c:grouping val="standard"/>
        <c:varyColors val="0"/>
        <c:ser>
          <c:idx val="0"/>
          <c:order val="0"/>
          <c:tx>
            <c:strRef>
              <c:f>'SNZ LP data'!$J$19</c:f>
              <c:strCache>
                <c:ptCount val="1"/>
                <c:pt idx="0">
                  <c:v>LVS</c:v>
                </c:pt>
              </c:strCache>
            </c:strRef>
          </c:tx>
          <c:spPr>
            <a:ln w="12700">
              <a:solidFill>
                <a:sysClr val="windowText" lastClr="000000"/>
              </a:solidFill>
            </a:ln>
          </c:spPr>
          <c:marker>
            <c:symbol val="none"/>
          </c:marker>
          <c:cat>
            <c:strRef>
              <c:f>'SNZ LP data'!$A$20:$A$35</c:f>
              <c:strCache>
                <c:ptCount val="16"/>
                <c:pt idx="0">
                  <c:v>96</c:v>
                </c:pt>
                <c:pt idx="1">
                  <c:v>97</c:v>
                </c:pt>
                <c:pt idx="2">
                  <c:v>98</c:v>
                </c:pt>
                <c:pt idx="3">
                  <c:v>99</c:v>
                </c:pt>
                <c:pt idx="4">
                  <c:v>00</c:v>
                </c:pt>
                <c:pt idx="5">
                  <c:v>01</c:v>
                </c:pt>
                <c:pt idx="6">
                  <c:v>02</c:v>
                </c:pt>
                <c:pt idx="7">
                  <c:v>03</c:v>
                </c:pt>
                <c:pt idx="8">
                  <c:v>04</c:v>
                </c:pt>
                <c:pt idx="9">
                  <c:v>05</c:v>
                </c:pt>
                <c:pt idx="10">
                  <c:v>06</c:v>
                </c:pt>
                <c:pt idx="11">
                  <c:v>07</c:v>
                </c:pt>
                <c:pt idx="12">
                  <c:v>08</c:v>
                </c:pt>
                <c:pt idx="13">
                  <c:v>09</c:v>
                </c:pt>
                <c:pt idx="14">
                  <c:v>10</c:v>
                </c:pt>
                <c:pt idx="15">
                  <c:v>11</c:v>
                </c:pt>
              </c:strCache>
            </c:strRef>
          </c:cat>
          <c:val>
            <c:numRef>
              <c:f>'SNZ LP data'!$J$20:$J$35</c:f>
              <c:numCache>
                <c:formatCode>General</c:formatCode>
                <c:ptCount val="16"/>
                <c:pt idx="0">
                  <c:v>1000</c:v>
                </c:pt>
                <c:pt idx="1">
                  <c:v>1028.8996714396681</c:v>
                </c:pt>
                <c:pt idx="2">
                  <c:v>1028.8393049144936</c:v>
                </c:pt>
                <c:pt idx="3">
                  <c:v>1022.9639892951215</c:v>
                </c:pt>
                <c:pt idx="4">
                  <c:v>1036.1388885780948</c:v>
                </c:pt>
                <c:pt idx="5">
                  <c:v>1052.5912848691396</c:v>
                </c:pt>
                <c:pt idx="6">
                  <c:v>1082.0970545447601</c:v>
                </c:pt>
                <c:pt idx="7">
                  <c:v>1115.4299735546751</c:v>
                </c:pt>
                <c:pt idx="8">
                  <c:v>1148.6286395546329</c:v>
                </c:pt>
                <c:pt idx="9">
                  <c:v>1175.2880211293168</c:v>
                </c:pt>
                <c:pt idx="10">
                  <c:v>1193.9572345354748</c:v>
                </c:pt>
                <c:pt idx="11">
                  <c:v>1211.9750793956516</c:v>
                </c:pt>
                <c:pt idx="12">
                  <c:v>1228.3506855626761</c:v>
                </c:pt>
                <c:pt idx="13">
                  <c:v>1218.8956034545511</c:v>
                </c:pt>
                <c:pt idx="14">
                  <c:v>1160.5166152436561</c:v>
                </c:pt>
                <c:pt idx="15">
                  <c:v>1171.3229422099457</c:v>
                </c:pt>
              </c:numCache>
            </c:numRef>
          </c:val>
          <c:smooth val="0"/>
        </c:ser>
        <c:ser>
          <c:idx val="1"/>
          <c:order val="1"/>
          <c:tx>
            <c:strRef>
              <c:f>'SNZ LP data'!$K$19</c:f>
              <c:strCache>
                <c:ptCount val="1"/>
                <c:pt idx="0">
                  <c:v>HLFS actual</c:v>
                </c:pt>
              </c:strCache>
            </c:strRef>
          </c:tx>
          <c:spPr>
            <a:ln w="12700">
              <a:solidFill>
                <a:srgbClr val="669999"/>
              </a:solidFill>
            </a:ln>
          </c:spPr>
          <c:marker>
            <c:symbol val="none"/>
          </c:marker>
          <c:cat>
            <c:strRef>
              <c:f>'SNZ LP data'!$A$20:$A$35</c:f>
              <c:strCache>
                <c:ptCount val="16"/>
                <c:pt idx="0">
                  <c:v>96</c:v>
                </c:pt>
                <c:pt idx="1">
                  <c:v>97</c:v>
                </c:pt>
                <c:pt idx="2">
                  <c:v>98</c:v>
                </c:pt>
                <c:pt idx="3">
                  <c:v>99</c:v>
                </c:pt>
                <c:pt idx="4">
                  <c:v>00</c:v>
                </c:pt>
                <c:pt idx="5">
                  <c:v>01</c:v>
                </c:pt>
                <c:pt idx="6">
                  <c:v>02</c:v>
                </c:pt>
                <c:pt idx="7">
                  <c:v>03</c:v>
                </c:pt>
                <c:pt idx="8">
                  <c:v>04</c:v>
                </c:pt>
                <c:pt idx="9">
                  <c:v>05</c:v>
                </c:pt>
                <c:pt idx="10">
                  <c:v>06</c:v>
                </c:pt>
                <c:pt idx="11">
                  <c:v>07</c:v>
                </c:pt>
                <c:pt idx="12">
                  <c:v>08</c:v>
                </c:pt>
                <c:pt idx="13">
                  <c:v>09</c:v>
                </c:pt>
                <c:pt idx="14">
                  <c:v>10</c:v>
                </c:pt>
                <c:pt idx="15">
                  <c:v>11</c:v>
                </c:pt>
              </c:strCache>
            </c:strRef>
          </c:cat>
          <c:val>
            <c:numRef>
              <c:f>'SNZ LP data'!$K$20:$K$35</c:f>
              <c:numCache>
                <c:formatCode>General</c:formatCode>
                <c:ptCount val="16"/>
                <c:pt idx="0">
                  <c:v>1000</c:v>
                </c:pt>
                <c:pt idx="1">
                  <c:v>1010.7166554074004</c:v>
                </c:pt>
                <c:pt idx="2">
                  <c:v>1016.3530989139124</c:v>
                </c:pt>
                <c:pt idx="3">
                  <c:v>1014.7101431280483</c:v>
                </c:pt>
                <c:pt idx="4">
                  <c:v>1041.3468626198248</c:v>
                </c:pt>
                <c:pt idx="5">
                  <c:v>1055.5366437006739</c:v>
                </c:pt>
                <c:pt idx="6">
                  <c:v>1065.9404651576353</c:v>
                </c:pt>
                <c:pt idx="7">
                  <c:v>1106.8651057807317</c:v>
                </c:pt>
                <c:pt idx="8">
                  <c:v>1132.8186000723108</c:v>
                </c:pt>
                <c:pt idx="9">
                  <c:v>1172.4174602361436</c:v>
                </c:pt>
                <c:pt idx="10">
                  <c:v>1195.0228049179798</c:v>
                </c:pt>
                <c:pt idx="11">
                  <c:v>1197.895735197108</c:v>
                </c:pt>
                <c:pt idx="12">
                  <c:v>1193.6347914033354</c:v>
                </c:pt>
                <c:pt idx="13">
                  <c:v>1192.6428369607288</c:v>
                </c:pt>
                <c:pt idx="14">
                  <c:v>1145.0466423172491</c:v>
                </c:pt>
                <c:pt idx="15">
                  <c:v>1161.1459126009547</c:v>
                </c:pt>
              </c:numCache>
            </c:numRef>
          </c:val>
          <c:smooth val="0"/>
        </c:ser>
        <c:ser>
          <c:idx val="2"/>
          <c:order val="2"/>
          <c:tx>
            <c:strRef>
              <c:f>'SNZ LP data'!$L$19</c:f>
              <c:strCache>
                <c:ptCount val="1"/>
                <c:pt idx="0">
                  <c:v>HLFS usual</c:v>
                </c:pt>
              </c:strCache>
            </c:strRef>
          </c:tx>
          <c:spPr>
            <a:ln w="12700">
              <a:solidFill>
                <a:sysClr val="windowText" lastClr="000000"/>
              </a:solidFill>
              <a:prstDash val="dash"/>
            </a:ln>
          </c:spPr>
          <c:marker>
            <c:symbol val="none"/>
          </c:marker>
          <c:cat>
            <c:strRef>
              <c:f>'SNZ LP data'!$A$20:$A$35</c:f>
              <c:strCache>
                <c:ptCount val="16"/>
                <c:pt idx="0">
                  <c:v>96</c:v>
                </c:pt>
                <c:pt idx="1">
                  <c:v>97</c:v>
                </c:pt>
                <c:pt idx="2">
                  <c:v>98</c:v>
                </c:pt>
                <c:pt idx="3">
                  <c:v>99</c:v>
                </c:pt>
                <c:pt idx="4">
                  <c:v>00</c:v>
                </c:pt>
                <c:pt idx="5">
                  <c:v>01</c:v>
                </c:pt>
                <c:pt idx="6">
                  <c:v>02</c:v>
                </c:pt>
                <c:pt idx="7">
                  <c:v>03</c:v>
                </c:pt>
                <c:pt idx="8">
                  <c:v>04</c:v>
                </c:pt>
                <c:pt idx="9">
                  <c:v>05</c:v>
                </c:pt>
                <c:pt idx="10">
                  <c:v>06</c:v>
                </c:pt>
                <c:pt idx="11">
                  <c:v>07</c:v>
                </c:pt>
                <c:pt idx="12">
                  <c:v>08</c:v>
                </c:pt>
                <c:pt idx="13">
                  <c:v>09</c:v>
                </c:pt>
                <c:pt idx="14">
                  <c:v>10</c:v>
                </c:pt>
                <c:pt idx="15">
                  <c:v>11</c:v>
                </c:pt>
              </c:strCache>
            </c:strRef>
          </c:cat>
          <c:val>
            <c:numRef>
              <c:f>'SNZ LP data'!$L$20:$L$35</c:f>
              <c:numCache>
                <c:formatCode>General</c:formatCode>
                <c:ptCount val="16"/>
                <c:pt idx="0">
                  <c:v>1000</c:v>
                </c:pt>
                <c:pt idx="1">
                  <c:v>1016.711636860133</c:v>
                </c:pt>
                <c:pt idx="2">
                  <c:v>1014.9225691448461</c:v>
                </c:pt>
                <c:pt idx="3">
                  <c:v>1004.1381757952304</c:v>
                </c:pt>
                <c:pt idx="4">
                  <c:v>1030.352101638859</c:v>
                </c:pt>
                <c:pt idx="5">
                  <c:v>1047.4497015670731</c:v>
                </c:pt>
                <c:pt idx="6">
                  <c:v>1064.6842815011628</c:v>
                </c:pt>
                <c:pt idx="7">
                  <c:v>1099.1672572126888</c:v>
                </c:pt>
                <c:pt idx="8">
                  <c:v>1128.4680014838889</c:v>
                </c:pt>
                <c:pt idx="9">
                  <c:v>1165.6040258672256</c:v>
                </c:pt>
                <c:pt idx="10">
                  <c:v>1193.5253313625631</c:v>
                </c:pt>
                <c:pt idx="11">
                  <c:v>1194.7885097088431</c:v>
                </c:pt>
                <c:pt idx="12">
                  <c:v>1192.3207081461303</c:v>
                </c:pt>
                <c:pt idx="13">
                  <c:v>1189.5630501502501</c:v>
                </c:pt>
                <c:pt idx="14">
                  <c:v>1149.7997932664769</c:v>
                </c:pt>
                <c:pt idx="15">
                  <c:v>1157.6056796138114</c:v>
                </c:pt>
              </c:numCache>
            </c:numRef>
          </c:val>
          <c:smooth val="0"/>
        </c:ser>
        <c:dLbls>
          <c:showLegendKey val="0"/>
          <c:showVal val="0"/>
          <c:showCatName val="0"/>
          <c:showSerName val="0"/>
          <c:showPercent val="0"/>
          <c:showBubbleSize val="0"/>
        </c:dLbls>
        <c:marker val="1"/>
        <c:smooth val="0"/>
        <c:axId val="95394048"/>
        <c:axId val="95412608"/>
      </c:lineChart>
      <c:catAx>
        <c:axId val="95394048"/>
        <c:scaling>
          <c:orientation val="minMax"/>
        </c:scaling>
        <c:delete val="0"/>
        <c:axPos val="b"/>
        <c:title>
          <c:tx>
            <c:rich>
              <a:bodyPr/>
              <a:lstStyle/>
              <a:p>
                <a:pPr>
                  <a:defRPr sz="800" b="0">
                    <a:latin typeface="Arial Mäori" pitchFamily="34" charset="0"/>
                    <a:cs typeface="Arial Mäori" pitchFamily="34" charset="0"/>
                  </a:defRPr>
                </a:pPr>
                <a:r>
                  <a:rPr lang="en-NZ" sz="800" b="0">
                    <a:latin typeface="Arial Mäori" pitchFamily="34" charset="0"/>
                    <a:cs typeface="Arial Mäori" pitchFamily="34" charset="0"/>
                  </a:rPr>
                  <a:t>Year ended March</a:t>
                </a:r>
              </a:p>
            </c:rich>
          </c:tx>
          <c:layout>
            <c:manualLayout>
              <c:xMode val="edge"/>
              <c:yMode val="edge"/>
              <c:x val="0.41270276070355011"/>
              <c:y val="0.82414170127598785"/>
            </c:manualLayout>
          </c:layout>
          <c:overlay val="0"/>
        </c:title>
        <c:numFmt formatCode="General" sourceLinked="1"/>
        <c:majorTickMark val="out"/>
        <c:minorTickMark val="none"/>
        <c:tickLblPos val="low"/>
        <c:spPr>
          <a:ln w="12700">
            <a:solidFill>
              <a:sysClr val="windowText" lastClr="000000"/>
            </a:solidFill>
          </a:ln>
        </c:spPr>
        <c:txPr>
          <a:bodyPr rot="0"/>
          <a:lstStyle/>
          <a:p>
            <a:pPr>
              <a:defRPr sz="800" baseline="0">
                <a:latin typeface="Arial Mäori" pitchFamily="34" charset="0"/>
              </a:defRPr>
            </a:pPr>
            <a:endParaRPr lang="en-US"/>
          </a:p>
        </c:txPr>
        <c:crossAx val="95412608"/>
        <c:crosses val="autoZero"/>
        <c:auto val="0"/>
        <c:lblAlgn val="ctr"/>
        <c:lblOffset val="100"/>
        <c:tickLblSkip val="1"/>
        <c:noMultiLvlLbl val="0"/>
      </c:catAx>
      <c:valAx>
        <c:axId val="95412608"/>
        <c:scaling>
          <c:orientation val="minMax"/>
          <c:min val="900"/>
        </c:scaling>
        <c:delete val="0"/>
        <c:axPos val="l"/>
        <c:majorGridlines>
          <c:spPr>
            <a:ln w="6350">
              <a:solidFill>
                <a:srgbClr val="CCCCCC"/>
              </a:solidFill>
            </a:ln>
          </c:spPr>
        </c:majorGridlines>
        <c:title>
          <c:tx>
            <c:rich>
              <a:bodyPr rot="0" vert="horz"/>
              <a:lstStyle/>
              <a:p>
                <a:pPr>
                  <a:defRPr sz="800" b="0" i="0" baseline="0">
                    <a:latin typeface="Arial Mäori" pitchFamily="34" charset="0"/>
                  </a:defRPr>
                </a:pPr>
                <a:r>
                  <a:rPr lang="en-NZ"/>
                  <a:t>Index</a:t>
                </a:r>
              </a:p>
            </c:rich>
          </c:tx>
          <c:layout>
            <c:manualLayout>
              <c:xMode val="edge"/>
              <c:yMode val="edge"/>
              <c:x val="7.8999125109361329E-2"/>
              <c:y val="0.1280078011081949"/>
            </c:manualLayout>
          </c:layout>
          <c:overlay val="0"/>
        </c:title>
        <c:numFmt formatCode="General" sourceLinked="1"/>
        <c:majorTickMark val="none"/>
        <c:minorTickMark val="none"/>
        <c:tickLblPos val="low"/>
        <c:spPr>
          <a:noFill/>
          <a:ln w="12700">
            <a:solidFill>
              <a:sysClr val="windowText" lastClr="000000"/>
            </a:solidFill>
          </a:ln>
        </c:spPr>
        <c:txPr>
          <a:bodyPr/>
          <a:lstStyle/>
          <a:p>
            <a:pPr>
              <a:defRPr sz="800" baseline="0">
                <a:latin typeface="Arial Mäori" pitchFamily="34" charset="0"/>
              </a:defRPr>
            </a:pPr>
            <a:endParaRPr lang="en-US"/>
          </a:p>
        </c:txPr>
        <c:crossAx val="95394048"/>
        <c:crosses val="autoZero"/>
        <c:crossBetween val="midCat"/>
      </c:valAx>
      <c:spPr>
        <a:solidFill>
          <a:sysClr val="window" lastClr="FFFFFF"/>
        </a:solidFill>
      </c:spPr>
    </c:plotArea>
    <c:legend>
      <c:legendPos val="r"/>
      <c:layout>
        <c:manualLayout>
          <c:xMode val="edge"/>
          <c:yMode val="edge"/>
          <c:x val="4.9464785651793533E-2"/>
          <c:y val="0.20752150772820063"/>
          <c:w val="0.58591254816551763"/>
          <c:h val="6.8803951589384654E-2"/>
        </c:manualLayout>
      </c:layout>
      <c:overlay val="0"/>
      <c:txPr>
        <a:bodyPr/>
        <a:lstStyle/>
        <a:p>
          <a:pPr>
            <a:defRPr sz="800" baseline="0">
              <a:latin typeface="Arial Mäori" pitchFamily="34" charset="0"/>
            </a:defRPr>
          </a:pPr>
          <a:endParaRPr lang="en-US"/>
        </a:p>
      </c:txPr>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0.06036</cdr:x>
      <cdr:y>0.77124</cdr:y>
    </cdr:from>
    <cdr:to>
      <cdr:x>0.99837</cdr:x>
      <cdr:y>0.79412</cdr:y>
    </cdr:to>
    <cdr:grpSp>
      <cdr:nvGrpSpPr>
        <cdr:cNvPr id="10" name="Group 5"/>
        <cdr:cNvGrpSpPr>
          <a:grpSpLocks xmlns:a="http://schemas.openxmlformats.org/drawingml/2006/main"/>
        </cdr:cNvGrpSpPr>
      </cdr:nvGrpSpPr>
      <cdr:grpSpPr bwMode="auto">
        <a:xfrm xmlns:a="http://schemas.openxmlformats.org/drawingml/2006/main">
          <a:off x="345954" y="2376421"/>
          <a:ext cx="5376214" cy="70500"/>
          <a:chOff x="343127" y="2135828"/>
          <a:chExt cx="5293711" cy="47567"/>
        </a:xfrm>
      </cdr:grpSpPr>
    </cdr:grpSp>
  </cdr:relSizeAnchor>
  <cdr:relSizeAnchor xmlns:cdr="http://schemas.openxmlformats.org/drawingml/2006/chartDrawing">
    <cdr:from>
      <cdr:x>0</cdr:x>
      <cdr:y>0.91168</cdr:y>
    </cdr:from>
    <cdr:to>
      <cdr:x>0.975</cdr:x>
      <cdr:y>0.97222</cdr:y>
    </cdr:to>
    <cdr:sp macro="" textlink="">
      <cdr:nvSpPr>
        <cdr:cNvPr id="11" name="TextBox 10"/>
        <cdr:cNvSpPr txBox="1"/>
      </cdr:nvSpPr>
      <cdr:spPr>
        <a:xfrm xmlns:a="http://schemas.openxmlformats.org/drawingml/2006/main">
          <a:off x="0" y="2500911"/>
          <a:ext cx="4457700" cy="1660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NZ" sz="800" b="0">
              <a:latin typeface="Arial Mäori" pitchFamily="34" charset="0"/>
              <a:cs typeface="Arial Mäori" pitchFamily="34" charset="0"/>
            </a:rPr>
            <a:t>Source</a:t>
          </a:r>
          <a:r>
            <a:rPr lang="en-NZ" sz="800" b="1">
              <a:latin typeface="Arial Mäori" pitchFamily="34" charset="0"/>
              <a:cs typeface="Arial Mäori" pitchFamily="34" charset="0"/>
            </a:rPr>
            <a:t>: </a:t>
          </a:r>
          <a:r>
            <a:rPr lang="en-NZ" sz="800">
              <a:latin typeface="Arial Mäori" pitchFamily="34" charset="0"/>
              <a:cs typeface="Arial Mäori" pitchFamily="34" charset="0"/>
            </a:rPr>
            <a:t>Statistics New Zealand</a:t>
          </a:r>
        </a:p>
      </cdr:txBody>
    </cdr:sp>
  </cdr:relSizeAnchor>
  <cdr:relSizeAnchor xmlns:cdr="http://schemas.openxmlformats.org/drawingml/2006/chartDrawing">
    <cdr:from>
      <cdr:x>0.02353</cdr:x>
      <cdr:y>0.72222</cdr:y>
    </cdr:from>
    <cdr:to>
      <cdr:x>0.99412</cdr:x>
      <cdr:y>0.77431</cdr:y>
    </cdr:to>
    <cdr:grpSp>
      <cdr:nvGrpSpPr>
        <cdr:cNvPr id="17" name="Group 16"/>
        <cdr:cNvGrpSpPr/>
      </cdr:nvGrpSpPr>
      <cdr:grpSpPr>
        <a:xfrm xmlns:a="http://schemas.openxmlformats.org/drawingml/2006/main">
          <a:off x="134862" y="2225376"/>
          <a:ext cx="5562947" cy="160505"/>
          <a:chOff x="114299" y="1981194"/>
          <a:chExt cx="4714887" cy="142893"/>
        </a:xfrm>
      </cdr:grpSpPr>
      <cdr:sp macro="" textlink="">
        <cdr:nvSpPr>
          <cdr:cNvPr id="12" name="TextBox 11"/>
          <cdr:cNvSpPr txBox="1"/>
        </cdr:nvSpPr>
        <cdr:spPr>
          <a:xfrm xmlns:a="http://schemas.openxmlformats.org/drawingml/2006/main">
            <a:off x="4724405" y="1981194"/>
            <a:ext cx="104781" cy="142893"/>
          </a:xfrm>
          <a:prstGeom xmlns:a="http://schemas.openxmlformats.org/drawingml/2006/main" prst="rect">
            <a:avLst/>
          </a:prstGeom>
          <a:solidFill xmlns:a="http://schemas.openxmlformats.org/drawingml/2006/main">
            <a:schemeClr val="bg1"/>
          </a:solidFill>
          <a:ln xmlns:a="http://schemas.openxmlformats.org/drawingml/2006/main" w="6350">
            <a:noFill/>
          </a:ln>
        </cdr:spPr>
        <cdr:txBody>
          <a:bodyPr xmlns:a="http://schemas.openxmlformats.org/drawingml/2006/main" vertOverflow="clip" wrap="square" rtlCol="0"/>
          <a:lstStyle xmlns:a="http://schemas.openxmlformats.org/drawingml/2006/main"/>
          <a:p xmlns:a="http://schemas.openxmlformats.org/drawingml/2006/main">
            <a:r>
              <a:rPr lang="en-NZ" sz="1100"/>
              <a:t>					</a:t>
            </a:r>
          </a:p>
        </cdr:txBody>
      </cdr:sp>
      <cdr:sp macro="" textlink="">
        <cdr:nvSpPr>
          <cdr:cNvPr id="14" name="TextBox 13"/>
          <cdr:cNvSpPr txBox="1"/>
        </cdr:nvSpPr>
        <cdr:spPr>
          <a:xfrm xmlns:a="http://schemas.openxmlformats.org/drawingml/2006/main">
            <a:off x="114299" y="1990725"/>
            <a:ext cx="104775" cy="952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txBody>
          <a:bodyPr xmlns:a="http://schemas.openxmlformats.org/drawingml/2006/main" vertOverflow="clip" wrap="square" rtlCol="0"/>
          <a:lstStyle xmlns:a="http://schemas.openxmlformats.org/drawingml/2006/main"/>
          <a:p xmlns:a="http://schemas.openxmlformats.org/drawingml/2006/main">
            <a:endParaRPr lang="en-NZ" sz="1100"/>
          </a:p>
        </cdr:txBody>
      </cdr:sp>
    </cdr:grpSp>
  </cdr:relSizeAnchor>
  <cdr:relSizeAnchor xmlns:cdr="http://schemas.openxmlformats.org/drawingml/2006/chartDrawing">
    <cdr:from>
      <cdr:x>0.02353</cdr:x>
      <cdr:y>0.71528</cdr:y>
    </cdr:from>
    <cdr:to>
      <cdr:x>0.98431</cdr:x>
      <cdr:y>0.76042</cdr:y>
    </cdr:to>
    <cdr:grpSp>
      <cdr:nvGrpSpPr>
        <cdr:cNvPr id="19" name="Group 18"/>
        <cdr:cNvGrpSpPr/>
      </cdr:nvGrpSpPr>
      <cdr:grpSpPr>
        <a:xfrm xmlns:a="http://schemas.openxmlformats.org/drawingml/2006/main">
          <a:off x="134862" y="2203992"/>
          <a:ext cx="5506721" cy="139089"/>
          <a:chOff x="114300" y="1962150"/>
          <a:chExt cx="4667250" cy="123825"/>
        </a:xfrm>
      </cdr:grpSpPr>
      <cdr:sp macro="" textlink="">
        <cdr:nvSpPr>
          <cdr:cNvPr id="13" name="TextBox 12"/>
          <cdr:cNvSpPr txBox="1"/>
        </cdr:nvSpPr>
        <cdr:spPr>
          <a:xfrm xmlns:a="http://schemas.openxmlformats.org/drawingml/2006/main">
            <a:off x="142875" y="2009775"/>
            <a:ext cx="4610100" cy="45719"/>
          </a:xfrm>
          <a:prstGeom xmlns:a="http://schemas.openxmlformats.org/drawingml/2006/main" prst="rect">
            <a:avLst/>
          </a:prstGeom>
          <a:solidFill xmlns:a="http://schemas.openxmlformats.org/drawingml/2006/main">
            <a:schemeClr val="bg1"/>
          </a:solidFill>
          <a:ln xmlns:a="http://schemas.openxmlformats.org/drawingml/2006/main" w="6350">
            <a:solidFill>
              <a:schemeClr val="tx1"/>
            </a:solidFill>
          </a:ln>
        </cdr:spPr>
        <cdr:txBody>
          <a:bodyPr xmlns:a="http://schemas.openxmlformats.org/drawingml/2006/main" vertOverflow="clip" wrap="square" rtlCol="0"/>
          <a:lstStyle xmlns:a="http://schemas.openxmlformats.org/drawingml/2006/main"/>
          <a:p xmlns:a="http://schemas.openxmlformats.org/drawingml/2006/main">
            <a:endParaRPr lang="en-NZ" sz="1100"/>
          </a:p>
        </cdr:txBody>
      </cdr:sp>
      <cdr:sp macro="" textlink="">
        <cdr:nvSpPr>
          <cdr:cNvPr id="15" name="TextBox 14"/>
          <cdr:cNvSpPr txBox="1"/>
        </cdr:nvSpPr>
        <cdr:spPr>
          <a:xfrm xmlns:a="http://schemas.openxmlformats.org/drawingml/2006/main">
            <a:off x="4705350" y="1962150"/>
            <a:ext cx="76200" cy="11430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endParaRPr lang="en-NZ" sz="1100"/>
          </a:p>
        </cdr:txBody>
      </cdr:sp>
      <cdr:sp macro="" textlink="">
        <cdr:nvSpPr>
          <cdr:cNvPr id="18" name="TextBox 17"/>
          <cdr:cNvSpPr txBox="1"/>
        </cdr:nvSpPr>
        <cdr:spPr>
          <a:xfrm xmlns:a="http://schemas.openxmlformats.org/drawingml/2006/main">
            <a:off x="114300" y="1981200"/>
            <a:ext cx="104775" cy="104775"/>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endParaRPr lang="en-NZ" sz="1100"/>
          </a:p>
        </cdr:txBody>
      </cdr:sp>
    </cdr:grpSp>
  </cdr:relSizeAnchor>
  <cdr:relSizeAnchor xmlns:cdr="http://schemas.openxmlformats.org/drawingml/2006/chartDrawing">
    <cdr:from>
      <cdr:x>0.02173</cdr:x>
      <cdr:y>0.74843</cdr:y>
    </cdr:from>
    <cdr:to>
      <cdr:x>0.06683</cdr:x>
      <cdr:y>0.7901</cdr:y>
    </cdr:to>
    <cdr:sp macro="" textlink="">
      <cdr:nvSpPr>
        <cdr:cNvPr id="20" name="TextBox 19"/>
        <cdr:cNvSpPr txBox="1"/>
      </cdr:nvSpPr>
      <cdr:spPr>
        <a:xfrm xmlns:a="http://schemas.openxmlformats.org/drawingml/2006/main">
          <a:off x="124553" y="2306148"/>
          <a:ext cx="258491" cy="128398"/>
        </a:xfrm>
        <a:prstGeom xmlns:a="http://schemas.openxmlformats.org/drawingml/2006/main" prst="rect">
          <a:avLst/>
        </a:prstGeom>
        <a:solidFill xmlns:a="http://schemas.openxmlformats.org/drawingml/2006/main">
          <a:schemeClr val="bg1"/>
        </a:solidFill>
        <a:ln xmlns:a="http://schemas.openxmlformats.org/drawingml/2006/main" w="6350">
          <a:solidFill>
            <a:srgbClr val="FF0000"/>
          </a:solidFill>
        </a:ln>
      </cdr:spPr>
      <cdr:txBody>
        <a:bodyPr xmlns:a="http://schemas.openxmlformats.org/drawingml/2006/main" vertOverflow="clip" wrap="square" lIns="144000" tIns="0" bIns="0" rtlCol="0" anchor="ctr" anchorCtr="0"/>
        <a:lstStyle xmlns:a="http://schemas.openxmlformats.org/drawingml/2006/main"/>
        <a:p xmlns:a="http://schemas.openxmlformats.org/drawingml/2006/main">
          <a:r>
            <a:rPr lang="en-NZ" sz="800" baseline="0">
              <a:latin typeface="Arial" pitchFamily="34" charset="0"/>
            </a:rPr>
            <a:t>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001D55-8965-48EC-BF00-DCC8117A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25</Pages>
  <Words>7879</Words>
  <Characters>44916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Statistics New Zealand</Company>
  <LinksUpToDate>false</LinksUpToDate>
  <CharactersWithSpaces>52690</CharactersWithSpaces>
  <SharedDoc>false</SharedDoc>
  <HLinks>
    <vt:vector size="24" baseType="variant">
      <vt:variant>
        <vt:i4>5832795</vt:i4>
      </vt:variant>
      <vt:variant>
        <vt:i4>12</vt:i4>
      </vt:variant>
      <vt:variant>
        <vt:i4>0</vt:i4>
      </vt:variant>
      <vt:variant>
        <vt:i4>5</vt:i4>
      </vt:variant>
      <vt:variant>
        <vt:lpwstr>http://www.legislation.govt.nz/act/public/1981/0047/latest/DLM51358.html</vt:lpwstr>
      </vt:variant>
      <vt:variant>
        <vt:lpwstr/>
      </vt:variant>
      <vt:variant>
        <vt:i4>4259868</vt:i4>
      </vt:variant>
      <vt:variant>
        <vt:i4>9</vt:i4>
      </vt:variant>
      <vt:variant>
        <vt:i4>0</vt:i4>
      </vt:variant>
      <vt:variant>
        <vt:i4>5</vt:i4>
      </vt:variant>
      <vt:variant>
        <vt:lpwstr>http://creativecommons.org/licenses/by/3.0/nz/deed.en</vt:lpwstr>
      </vt:variant>
      <vt:variant>
        <vt:lpwstr/>
      </vt:variant>
      <vt:variant>
        <vt:i4>4259868</vt:i4>
      </vt:variant>
      <vt:variant>
        <vt:i4>6</vt:i4>
      </vt:variant>
      <vt:variant>
        <vt:i4>0</vt:i4>
      </vt:variant>
      <vt:variant>
        <vt:i4>5</vt:i4>
      </vt:variant>
      <vt:variant>
        <vt:lpwstr>http://creativecommons.org/licenses/by/3.0/nz/deed.en</vt:lpwstr>
      </vt:variant>
      <vt:variant>
        <vt:lpwstr/>
      </vt:variant>
      <vt:variant>
        <vt:i4>983051</vt:i4>
      </vt:variant>
      <vt:variant>
        <vt:i4>3</vt:i4>
      </vt:variant>
      <vt:variant>
        <vt:i4>0</vt:i4>
      </vt:variant>
      <vt:variant>
        <vt:i4>5</vt:i4>
      </vt:variant>
      <vt:variant>
        <vt:lpwstr>http://www.stats.govt.nz/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JWright</dc:creator>
  <cp:lastModifiedBy>Nicholas Warmke</cp:lastModifiedBy>
  <cp:revision>36</cp:revision>
  <cp:lastPrinted>2012-06-18T21:05:00Z</cp:lastPrinted>
  <dcterms:created xsi:type="dcterms:W3CDTF">2012-06-18T03:56:00Z</dcterms:created>
  <dcterms:modified xsi:type="dcterms:W3CDTF">2012-06-20T21:27:00Z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NEDocID">
    <vt:lpwstr>W1234266</vt:lpwstr>
  </property>
  <property fmtid="{D5CDD505-2E9C-101B-9397-08002B2CF9AE}" pid="3" name="DocONERegDate">
    <vt:lpwstr>14/06/2012 09:50:14 AM</vt:lpwstr>
  </property>
  <property fmtid="{D5CDD505-2E9C-101B-9397-08002B2CF9AE}" pid="4" name="DocONEVerNo">
    <vt:lpwstr>1</vt:lpwstr>
  </property>
  <property fmtid="{D5CDD505-2E9C-101B-9397-08002B2CF9AE}" pid="5" name="DocONECreatedDate">
    <vt:lpwstr>14/06/2012</vt:lpwstr>
  </property>
</Properties>
</file>